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5"/>
        <w:gridCol w:w="2006"/>
        <w:gridCol w:w="7"/>
        <w:gridCol w:w="6383"/>
        <w:gridCol w:w="23"/>
      </w:tblGrid>
      <w:tr w:rsidR="00CE544A" w:rsidRPr="00975B07" w:rsidTr="005F7F7E">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rsidR="00F445B1" w:rsidRPr="001356F1" w:rsidRDefault="00F746D4" w:rsidP="00F746D4">
            <w:pPr>
              <w:rPr>
                <w:b/>
              </w:rPr>
            </w:pPr>
            <w:r>
              <w:rPr>
                <w:rStyle w:val="Firstpagetablebold"/>
              </w:rPr>
              <w:t>15</w:t>
            </w:r>
            <w:r w:rsidR="00BA543C">
              <w:rPr>
                <w:rStyle w:val="Firstpagetablebold"/>
              </w:rPr>
              <w:t xml:space="preserve"> December 2016</w:t>
            </w:r>
          </w:p>
        </w:tc>
      </w:tr>
      <w:tr w:rsidR="00CE544A" w:rsidRPr="00975B07" w:rsidTr="005F7F7E">
        <w:tc>
          <w:tcPr>
            <w:tcW w:w="2438"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rsidR="00F445B1" w:rsidRPr="001356F1" w:rsidRDefault="00BA543C" w:rsidP="00BA543C">
            <w:pPr>
              <w:rPr>
                <w:rStyle w:val="Firstpagetablebold"/>
              </w:rPr>
            </w:pPr>
            <w:r>
              <w:rPr>
                <w:rStyle w:val="Firstpagetablebold"/>
              </w:rPr>
              <w:t>Head of Housing and Property Services and Head of Financial Services</w:t>
            </w:r>
          </w:p>
        </w:tc>
      </w:tr>
      <w:tr w:rsidR="00CE544A" w:rsidRPr="00975B07" w:rsidTr="005F7F7E">
        <w:tc>
          <w:tcPr>
            <w:tcW w:w="2438"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rsidR="00F445B1" w:rsidRPr="001356F1" w:rsidRDefault="00BA543C" w:rsidP="00422FD4">
            <w:pPr>
              <w:rPr>
                <w:rStyle w:val="Firstpagetablebold"/>
              </w:rPr>
            </w:pPr>
            <w:r>
              <w:rPr>
                <w:rStyle w:val="Firstpagetablebold"/>
              </w:rPr>
              <w:t xml:space="preserve">Homeless Accommodation Property Investment and </w:t>
            </w:r>
            <w:r w:rsidR="00422FD4">
              <w:rPr>
                <w:rStyle w:val="Firstpagetablebold"/>
              </w:rPr>
              <w:t xml:space="preserve">Retained </w:t>
            </w:r>
            <w:r>
              <w:rPr>
                <w:rStyle w:val="Firstpagetablebold"/>
              </w:rPr>
              <w:t xml:space="preserve">Right to Buy </w:t>
            </w:r>
            <w:r w:rsidR="00422FD4">
              <w:rPr>
                <w:rStyle w:val="Firstpagetablebold"/>
              </w:rPr>
              <w:t>Capital Receipts Qualifying Expenditure</w:t>
            </w:r>
          </w:p>
        </w:tc>
      </w:tr>
      <w:tr w:rsidR="00D5547E" w:rsidTr="00D82A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303"/>
        </w:trPr>
        <w:tc>
          <w:tcPr>
            <w:tcW w:w="8821" w:type="dxa"/>
            <w:gridSpan w:val="4"/>
            <w:tcBorders>
              <w:bottom w:val="single" w:sz="8" w:space="0" w:color="000000"/>
            </w:tcBorders>
            <w:hideMark/>
          </w:tcPr>
          <w:p w:rsidR="00D5547E" w:rsidRDefault="00745BF0" w:rsidP="00BA543C">
            <w:pPr>
              <w:jc w:val="center"/>
              <w:rPr>
                <w:rStyle w:val="Firstpagetablebold"/>
              </w:rPr>
            </w:pPr>
            <w:r>
              <w:rPr>
                <w:rStyle w:val="Firstpagetablebold"/>
              </w:rPr>
              <w:t xml:space="preserve">Summary and </w:t>
            </w:r>
            <w:r w:rsidR="00BA543C">
              <w:rPr>
                <w:rStyle w:val="Firstpagetablebold"/>
              </w:rPr>
              <w:t>R</w:t>
            </w:r>
            <w:r w:rsidR="00D5547E">
              <w:rPr>
                <w:rStyle w:val="Firstpagetablebold"/>
              </w:rPr>
              <w:t>ecommendations</w:t>
            </w:r>
          </w:p>
        </w:tc>
      </w:tr>
      <w:tr w:rsidR="00D5547E" w:rsidTr="00D82A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515"/>
        </w:trPr>
        <w:tc>
          <w:tcPr>
            <w:tcW w:w="2431"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390" w:type="dxa"/>
            <w:gridSpan w:val="2"/>
            <w:tcBorders>
              <w:top w:val="single" w:sz="8" w:space="0" w:color="000000"/>
              <w:left w:val="nil"/>
              <w:bottom w:val="nil"/>
              <w:right w:val="single" w:sz="8" w:space="0" w:color="000000"/>
            </w:tcBorders>
            <w:hideMark/>
          </w:tcPr>
          <w:p w:rsidR="00D5547E" w:rsidRPr="001356F1" w:rsidRDefault="00BA543C" w:rsidP="00BA387C">
            <w:r>
              <w:t xml:space="preserve">To </w:t>
            </w:r>
            <w:r w:rsidR="008430EE">
              <w:t>seek project approval for the purchase of temporary homeless accommodation</w:t>
            </w:r>
            <w:r w:rsidR="00A87EB6">
              <w:t xml:space="preserve"> in order utilise retained capital receipts a</w:t>
            </w:r>
            <w:r w:rsidR="00187D0F">
              <w:t>nd deliver General Fund savings</w:t>
            </w:r>
            <w:r w:rsidR="00422FD4">
              <w:t xml:space="preserve">. </w:t>
            </w:r>
          </w:p>
        </w:tc>
      </w:tr>
      <w:tr w:rsidR="00D5547E" w:rsidTr="00D82A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303"/>
        </w:trPr>
        <w:tc>
          <w:tcPr>
            <w:tcW w:w="2431"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390" w:type="dxa"/>
            <w:gridSpan w:val="2"/>
            <w:tcBorders>
              <w:top w:val="nil"/>
              <w:left w:val="nil"/>
              <w:bottom w:val="nil"/>
              <w:right w:val="single" w:sz="8" w:space="0" w:color="000000"/>
            </w:tcBorders>
            <w:hideMark/>
          </w:tcPr>
          <w:p w:rsidR="00D5547E" w:rsidRPr="001356F1" w:rsidRDefault="00D5547E" w:rsidP="005F7F7E">
            <w:r w:rsidRPr="001356F1">
              <w:t>Yes</w:t>
            </w:r>
          </w:p>
        </w:tc>
      </w:tr>
      <w:tr w:rsidR="00D5547E" w:rsidTr="00D82A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818"/>
        </w:trPr>
        <w:tc>
          <w:tcPr>
            <w:tcW w:w="2431"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390" w:type="dxa"/>
            <w:gridSpan w:val="2"/>
            <w:tcBorders>
              <w:top w:val="nil"/>
              <w:left w:val="nil"/>
              <w:bottom w:val="nil"/>
              <w:right w:val="single" w:sz="8" w:space="0" w:color="000000"/>
            </w:tcBorders>
            <w:hideMark/>
          </w:tcPr>
          <w:p w:rsidR="00D5547E" w:rsidRDefault="00D5547E" w:rsidP="00BA543C">
            <w:r w:rsidRPr="001356F1">
              <w:t>C</w:t>
            </w:r>
            <w:r w:rsidR="00CF5B11">
              <w:t>llr</w:t>
            </w:r>
            <w:r w:rsidRPr="001356F1">
              <w:t xml:space="preserve"> </w:t>
            </w:r>
            <w:r w:rsidR="00BA543C">
              <w:t xml:space="preserve">Mike Rowley, Housing </w:t>
            </w:r>
          </w:p>
          <w:p w:rsidR="00BA543C" w:rsidRPr="001356F1" w:rsidRDefault="00BA543C" w:rsidP="00CF5B11">
            <w:r>
              <w:t>C</w:t>
            </w:r>
            <w:r w:rsidR="00CF5B11">
              <w:t>llr</w:t>
            </w:r>
            <w:r>
              <w:t xml:space="preserve"> Ed Turner, Finance</w:t>
            </w:r>
            <w:r w:rsidR="009A078E">
              <w:rPr>
                <w:rFonts w:ascii="Helvetica" w:hAnsi="Helvetica" w:cs="Helvetica"/>
                <w:color w:val="2E2E2E"/>
              </w:rPr>
              <w:t>, Asset Management and Public Health</w:t>
            </w:r>
          </w:p>
        </w:tc>
      </w:tr>
      <w:tr w:rsidR="0080749A" w:rsidTr="00D82A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607"/>
        </w:trPr>
        <w:tc>
          <w:tcPr>
            <w:tcW w:w="2431"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390" w:type="dxa"/>
            <w:gridSpan w:val="2"/>
            <w:tcBorders>
              <w:top w:val="nil"/>
              <w:left w:val="nil"/>
              <w:bottom w:val="nil"/>
              <w:right w:val="single" w:sz="8" w:space="0" w:color="000000"/>
            </w:tcBorders>
          </w:tcPr>
          <w:p w:rsidR="007A448A" w:rsidRDefault="009A078E" w:rsidP="00424B24">
            <w:r>
              <w:t>Meeting Housing Needs</w:t>
            </w:r>
          </w:p>
          <w:p w:rsidR="0080749A" w:rsidRPr="001356F1" w:rsidRDefault="009A078E" w:rsidP="00424B24">
            <w:r>
              <w:t>An Efficient and Effective Council</w:t>
            </w:r>
          </w:p>
        </w:tc>
      </w:tr>
      <w:tr w:rsidR="00D5547E" w:rsidTr="00D82A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607"/>
        </w:trPr>
        <w:tc>
          <w:tcPr>
            <w:tcW w:w="2431"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390" w:type="dxa"/>
            <w:gridSpan w:val="2"/>
            <w:tcBorders>
              <w:top w:val="nil"/>
              <w:left w:val="nil"/>
              <w:bottom w:val="nil"/>
              <w:right w:val="single" w:sz="8" w:space="0" w:color="000000"/>
            </w:tcBorders>
            <w:hideMark/>
          </w:tcPr>
          <w:p w:rsidR="00D5547E" w:rsidRDefault="009A078E" w:rsidP="005F7F7E">
            <w:r>
              <w:t>Homelessness Strategy 2013-18</w:t>
            </w:r>
          </w:p>
          <w:p w:rsidR="009A078E" w:rsidRPr="001356F1" w:rsidRDefault="009A078E" w:rsidP="005F7F7E"/>
        </w:tc>
      </w:tr>
      <w:tr w:rsidR="005F7F7E" w:rsidRPr="00975B07" w:rsidTr="00D82A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316"/>
        </w:trPr>
        <w:tc>
          <w:tcPr>
            <w:tcW w:w="8821" w:type="dxa"/>
            <w:gridSpan w:val="4"/>
            <w:tcBorders>
              <w:bottom w:val="single" w:sz="8" w:space="0" w:color="000000"/>
            </w:tcBorders>
          </w:tcPr>
          <w:p w:rsidR="005F7F7E" w:rsidRPr="00975B07" w:rsidRDefault="00CF5B11" w:rsidP="004A6D2F">
            <w:r>
              <w:rPr>
                <w:rStyle w:val="Firstpagetablebold"/>
              </w:rPr>
              <w:t>Recommendations</w:t>
            </w:r>
            <w:r w:rsidR="005F7F7E">
              <w:rPr>
                <w:rStyle w:val="Firstpagetablebold"/>
              </w:rPr>
              <w:t>:</w:t>
            </w:r>
            <w:r w:rsidR="007A448A">
              <w:rPr>
                <w:rStyle w:val="Firstpagetablebold"/>
              </w:rPr>
              <w:t xml:space="preserve"> </w:t>
            </w:r>
            <w:r w:rsidR="005F7F7E" w:rsidRPr="00CF5B11">
              <w:rPr>
                <w:rStyle w:val="Firstpagetablebold"/>
                <w:b w:val="0"/>
              </w:rPr>
              <w:t>That the City Executive Board resolves to:</w:t>
            </w:r>
          </w:p>
        </w:tc>
      </w:tr>
      <w:tr w:rsidR="0030208D" w:rsidRPr="00975B07" w:rsidTr="00F746D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217"/>
        </w:trPr>
        <w:tc>
          <w:tcPr>
            <w:tcW w:w="425" w:type="dxa"/>
            <w:tcBorders>
              <w:top w:val="single" w:sz="8" w:space="0" w:color="000000"/>
              <w:left w:val="single" w:sz="8" w:space="0" w:color="000000"/>
              <w:bottom w:val="nil"/>
              <w:right w:val="nil"/>
            </w:tcBorders>
          </w:tcPr>
          <w:p w:rsidR="0030208D" w:rsidRPr="00975B07" w:rsidRDefault="0030208D" w:rsidP="004A6D2F"/>
        </w:tc>
        <w:tc>
          <w:tcPr>
            <w:tcW w:w="8396" w:type="dxa"/>
            <w:gridSpan w:val="3"/>
            <w:tcBorders>
              <w:top w:val="single" w:sz="8" w:space="0" w:color="000000"/>
              <w:left w:val="nil"/>
              <w:bottom w:val="nil"/>
              <w:right w:val="single" w:sz="8" w:space="0" w:color="000000"/>
            </w:tcBorders>
            <w:shd w:val="clear" w:color="auto" w:fill="auto"/>
          </w:tcPr>
          <w:p w:rsidR="00187D0F" w:rsidRPr="00CF5B11" w:rsidRDefault="00CF5B11" w:rsidP="00187D0F">
            <w:pPr>
              <w:pStyle w:val="ListParagraph"/>
              <w:numPr>
                <w:ilvl w:val="0"/>
                <w:numId w:val="41"/>
              </w:numPr>
              <w:rPr>
                <w:color w:val="auto"/>
              </w:rPr>
            </w:pPr>
            <w:r>
              <w:rPr>
                <w:b/>
                <w:color w:val="auto"/>
              </w:rPr>
              <w:t>Note</w:t>
            </w:r>
            <w:r w:rsidR="00F746D4" w:rsidRPr="00F746D4">
              <w:rPr>
                <w:b/>
                <w:color w:val="auto"/>
              </w:rPr>
              <w:t xml:space="preserve"> </w:t>
            </w:r>
            <w:r w:rsidR="00F746D4" w:rsidRPr="00CF5B11">
              <w:rPr>
                <w:color w:val="auto"/>
              </w:rPr>
              <w:t>th</w:t>
            </w:r>
            <w:r w:rsidR="00D63F91" w:rsidRPr="00CF5B11">
              <w:rPr>
                <w:color w:val="auto"/>
              </w:rPr>
              <w:t xml:space="preserve">at the proposal set out in this </w:t>
            </w:r>
            <w:r w:rsidR="00F746D4" w:rsidRPr="00CF5B11">
              <w:rPr>
                <w:color w:val="auto"/>
              </w:rPr>
              <w:t xml:space="preserve">report </w:t>
            </w:r>
            <w:r w:rsidR="00D63F91" w:rsidRPr="00CF5B11">
              <w:rPr>
                <w:color w:val="auto"/>
              </w:rPr>
              <w:t>ha</w:t>
            </w:r>
            <w:r w:rsidR="004C29C8" w:rsidRPr="00CF5B11">
              <w:rPr>
                <w:color w:val="auto"/>
              </w:rPr>
              <w:t>s</w:t>
            </w:r>
            <w:r w:rsidR="00D63F91" w:rsidRPr="00CF5B11">
              <w:rPr>
                <w:color w:val="auto"/>
              </w:rPr>
              <w:t xml:space="preserve"> informed </w:t>
            </w:r>
            <w:r w:rsidR="00FE6876" w:rsidRPr="00CF5B11">
              <w:rPr>
                <w:color w:val="auto"/>
              </w:rPr>
              <w:t>the budget setting process and that the implications are contained within the Consultation Budget which appears elsewhere on the agenda</w:t>
            </w:r>
            <w:r w:rsidR="00F746D4" w:rsidRPr="00CF5B11">
              <w:rPr>
                <w:color w:val="auto"/>
              </w:rPr>
              <w:t>;</w:t>
            </w:r>
          </w:p>
          <w:p w:rsidR="00F746D4" w:rsidRPr="00187D0F" w:rsidRDefault="00CF5B11" w:rsidP="00187D0F">
            <w:pPr>
              <w:pStyle w:val="ListParagraph"/>
              <w:numPr>
                <w:ilvl w:val="0"/>
                <w:numId w:val="41"/>
              </w:numPr>
              <w:rPr>
                <w:b/>
                <w:color w:val="auto"/>
              </w:rPr>
            </w:pPr>
            <w:r>
              <w:rPr>
                <w:b/>
                <w:bCs/>
              </w:rPr>
              <w:t>G</w:t>
            </w:r>
            <w:r w:rsidR="00187D0F" w:rsidRPr="00187D0F">
              <w:rPr>
                <w:b/>
                <w:bCs/>
              </w:rPr>
              <w:t xml:space="preserve">ive project approval </w:t>
            </w:r>
            <w:r w:rsidR="00187D0F" w:rsidRPr="00CF5B11">
              <w:rPr>
                <w:bCs/>
              </w:rPr>
              <w:t>to the proposals, to purchase accommodation, as set out in this report, and within the allocated capital budget.</w:t>
            </w:r>
          </w:p>
        </w:tc>
      </w:tr>
      <w:tr w:rsidR="00232F5B" w:rsidRPr="00975B07" w:rsidTr="00F746D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68"/>
        </w:trPr>
        <w:tc>
          <w:tcPr>
            <w:tcW w:w="425" w:type="dxa"/>
            <w:tcBorders>
              <w:top w:val="nil"/>
              <w:left w:val="single" w:sz="8" w:space="0" w:color="000000"/>
              <w:bottom w:val="single" w:sz="8" w:space="0" w:color="000000"/>
              <w:right w:val="nil"/>
            </w:tcBorders>
          </w:tcPr>
          <w:p w:rsidR="0030208D" w:rsidRPr="00975B07" w:rsidRDefault="0030208D" w:rsidP="004A6D2F"/>
        </w:tc>
        <w:tc>
          <w:tcPr>
            <w:tcW w:w="8396" w:type="dxa"/>
            <w:gridSpan w:val="3"/>
            <w:tcBorders>
              <w:top w:val="nil"/>
              <w:left w:val="nil"/>
              <w:bottom w:val="single" w:sz="8" w:space="0" w:color="000000"/>
              <w:right w:val="single" w:sz="8" w:space="0" w:color="000000"/>
            </w:tcBorders>
            <w:shd w:val="clear" w:color="auto" w:fill="auto"/>
          </w:tcPr>
          <w:p w:rsidR="0030208D" w:rsidRPr="00424B24" w:rsidRDefault="0030208D" w:rsidP="0066457F">
            <w:pPr>
              <w:rPr>
                <w:b/>
              </w:rPr>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66457F">
            <w:r w:rsidRPr="00745BF0">
              <w:rPr>
                <w:rStyle w:val="Firstpagetablebold"/>
              </w:rPr>
              <w:t>Appendices</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A55D90">
            <w:r w:rsidRPr="00975B07">
              <w:t xml:space="preserve">Appendix </w:t>
            </w:r>
            <w:r w:rsidR="00A55D90">
              <w:t>1</w:t>
            </w:r>
          </w:p>
        </w:tc>
        <w:tc>
          <w:tcPr>
            <w:tcW w:w="6406" w:type="dxa"/>
            <w:tcBorders>
              <w:top w:val="nil"/>
              <w:left w:val="nil"/>
              <w:bottom w:val="nil"/>
              <w:right w:val="single" w:sz="8" w:space="0" w:color="000000"/>
            </w:tcBorders>
          </w:tcPr>
          <w:p w:rsidR="0030208D" w:rsidRPr="001356F1" w:rsidRDefault="0066457F"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981389" w:rsidP="00A55D90">
            <w:r>
              <w:t xml:space="preserve">Appendix </w:t>
            </w:r>
            <w:r w:rsidR="00A55D90">
              <w:t>2</w:t>
            </w:r>
          </w:p>
        </w:tc>
        <w:tc>
          <w:tcPr>
            <w:tcW w:w="6406" w:type="dxa"/>
            <w:tcBorders>
              <w:top w:val="nil"/>
              <w:left w:val="nil"/>
              <w:bottom w:val="single" w:sz="8" w:space="0" w:color="000000"/>
              <w:right w:val="single" w:sz="8" w:space="0" w:color="000000"/>
            </w:tcBorders>
          </w:tcPr>
          <w:p w:rsidR="0030208D" w:rsidRPr="001356F1" w:rsidRDefault="0066457F" w:rsidP="004A6D2F">
            <w:r>
              <w:t>Equality Impact Assessment</w:t>
            </w:r>
          </w:p>
        </w:tc>
      </w:tr>
    </w:tbl>
    <w:p w:rsidR="00FC17DF" w:rsidRDefault="00FC17DF">
      <w:pPr>
        <w:spacing w:after="0"/>
        <w:rPr>
          <w:b/>
        </w:rPr>
      </w:pPr>
      <w:r>
        <w:br w:type="page"/>
      </w:r>
    </w:p>
    <w:p w:rsidR="0040736F" w:rsidRPr="001356F1" w:rsidRDefault="00F66DCA" w:rsidP="004A6D2F">
      <w:pPr>
        <w:pStyle w:val="Heading1"/>
      </w:pPr>
      <w:r w:rsidRPr="001356F1">
        <w:lastRenderedPageBreak/>
        <w:t xml:space="preserve">Introduction </w:t>
      </w:r>
    </w:p>
    <w:p w:rsidR="005505A2" w:rsidRPr="005505A2" w:rsidRDefault="00B730D9" w:rsidP="005505A2">
      <w:pPr>
        <w:numPr>
          <w:ilvl w:val="0"/>
          <w:numId w:val="34"/>
        </w:numPr>
        <w:ind w:left="360"/>
        <w:rPr>
          <w:rFonts w:cs="Arial"/>
        </w:rPr>
      </w:pPr>
      <w:r>
        <w:rPr>
          <w:rFonts w:cs="Arial"/>
        </w:rPr>
        <w:t>To manage pressures on the homelessness budget t</w:t>
      </w:r>
      <w:r w:rsidR="005505A2">
        <w:rPr>
          <w:rFonts w:cs="Arial"/>
        </w:rPr>
        <w:t xml:space="preserve">he Council </w:t>
      </w:r>
      <w:r>
        <w:rPr>
          <w:rFonts w:cs="Arial"/>
        </w:rPr>
        <w:t>seeks to have no more than</w:t>
      </w:r>
      <w:r w:rsidR="005505A2">
        <w:rPr>
          <w:rFonts w:cs="Arial"/>
        </w:rPr>
        <w:t xml:space="preserve"> 120 households in Temporary Accommodation (TA)</w:t>
      </w:r>
      <w:r>
        <w:rPr>
          <w:rFonts w:cs="Arial"/>
        </w:rPr>
        <w:t xml:space="preserve"> at any one time</w:t>
      </w:r>
      <w:r w:rsidR="005505A2">
        <w:rPr>
          <w:rFonts w:cs="Arial"/>
        </w:rPr>
        <w:t>.  Th</w:t>
      </w:r>
      <w:r w:rsidR="00070E34">
        <w:rPr>
          <w:rFonts w:cs="Arial"/>
        </w:rPr>
        <w:t>is objective has</w:t>
      </w:r>
      <w:r w:rsidR="005505A2">
        <w:rPr>
          <w:rFonts w:cs="Arial"/>
        </w:rPr>
        <w:t xml:space="preserve"> been </w:t>
      </w:r>
      <w:r w:rsidR="00070E34">
        <w:rPr>
          <w:rFonts w:cs="Arial"/>
        </w:rPr>
        <w:t xml:space="preserve">met </w:t>
      </w:r>
      <w:r w:rsidR="005505A2">
        <w:rPr>
          <w:rFonts w:cs="Arial"/>
        </w:rPr>
        <w:t xml:space="preserve">for the past three </w:t>
      </w:r>
      <w:r w:rsidR="00786F5F">
        <w:rPr>
          <w:rFonts w:cs="Arial"/>
        </w:rPr>
        <w:t xml:space="preserve">financial </w:t>
      </w:r>
      <w:r w:rsidR="005505A2">
        <w:rPr>
          <w:rFonts w:cs="Arial"/>
        </w:rPr>
        <w:t xml:space="preserve">years.  At the end of </w:t>
      </w:r>
      <w:r w:rsidR="007A448A">
        <w:rPr>
          <w:rFonts w:cs="Arial"/>
        </w:rPr>
        <w:t xml:space="preserve">October </w:t>
      </w:r>
      <w:r w:rsidR="005505A2">
        <w:rPr>
          <w:rFonts w:cs="Arial"/>
        </w:rPr>
        <w:t xml:space="preserve">2016, 121 households were in TA.  </w:t>
      </w:r>
    </w:p>
    <w:p w:rsidR="005505A2" w:rsidRDefault="005505A2" w:rsidP="005505A2">
      <w:pPr>
        <w:numPr>
          <w:ilvl w:val="0"/>
          <w:numId w:val="34"/>
        </w:numPr>
        <w:ind w:left="360"/>
        <w:rPr>
          <w:rFonts w:cs="Arial"/>
        </w:rPr>
      </w:pPr>
      <w:r>
        <w:rPr>
          <w:rFonts w:cs="Arial"/>
        </w:rPr>
        <w:t>For the past 10 years or more, much of this TA provision comprised of Private Sector Lease (PSL) units.  In recent years, many of these properties have been lost</w:t>
      </w:r>
      <w:r w:rsidR="00786F5F">
        <w:rPr>
          <w:rFonts w:cs="Arial"/>
        </w:rPr>
        <w:t xml:space="preserve"> to the Council</w:t>
      </w:r>
      <w:r w:rsidR="004F61BE">
        <w:rPr>
          <w:rFonts w:cs="Arial"/>
        </w:rPr>
        <w:t>, with landlords choosing to let to other client groups</w:t>
      </w:r>
      <w:r w:rsidR="00FC17DF">
        <w:rPr>
          <w:rFonts w:cs="Arial"/>
        </w:rPr>
        <w:t>,</w:t>
      </w:r>
      <w:r>
        <w:rPr>
          <w:rFonts w:cs="Arial"/>
        </w:rPr>
        <w:t xml:space="preserve"> and additional units from the Housing Revenue Account (HRA) have been used to supplement th</w:t>
      </w:r>
      <w:r w:rsidR="002C43B8">
        <w:rPr>
          <w:rFonts w:cs="Arial"/>
        </w:rPr>
        <w:t>e shortfall</w:t>
      </w:r>
      <w:r>
        <w:rPr>
          <w:rFonts w:cs="Arial"/>
        </w:rPr>
        <w:t xml:space="preserve">.  Currently about 51 units of TA are PSLs; 5 are properties purchased in the last 2 years </w:t>
      </w:r>
      <w:r w:rsidR="00F166D4">
        <w:rPr>
          <w:rFonts w:cs="Arial"/>
        </w:rPr>
        <w:t xml:space="preserve">from </w:t>
      </w:r>
      <w:r>
        <w:rPr>
          <w:rFonts w:cs="Arial"/>
        </w:rPr>
        <w:t>the General Fund</w:t>
      </w:r>
      <w:r w:rsidR="00F166D4">
        <w:rPr>
          <w:rFonts w:cs="Arial"/>
        </w:rPr>
        <w:t xml:space="preserve"> </w:t>
      </w:r>
      <w:r w:rsidR="00D34C6E">
        <w:rPr>
          <w:rFonts w:cs="Arial"/>
        </w:rPr>
        <w:t xml:space="preserve">(GF) </w:t>
      </w:r>
      <w:r w:rsidR="002C43B8">
        <w:rPr>
          <w:rFonts w:cs="Arial"/>
        </w:rPr>
        <w:t>C</w:t>
      </w:r>
      <w:r w:rsidR="00F166D4">
        <w:rPr>
          <w:rFonts w:cs="Arial"/>
        </w:rPr>
        <w:t xml:space="preserve">apital </w:t>
      </w:r>
      <w:r w:rsidR="002C43B8">
        <w:rPr>
          <w:rFonts w:cs="Arial"/>
        </w:rPr>
        <w:t>P</w:t>
      </w:r>
      <w:r w:rsidR="00F166D4">
        <w:rPr>
          <w:rFonts w:cs="Arial"/>
        </w:rPr>
        <w:t>rogramme</w:t>
      </w:r>
      <w:r>
        <w:rPr>
          <w:rFonts w:cs="Arial"/>
        </w:rPr>
        <w:t xml:space="preserve"> and approximately 78 are HRA units.  The lease payments to landlords for the PSL units </w:t>
      </w:r>
      <w:r w:rsidR="00F166D4">
        <w:rPr>
          <w:rFonts w:cs="Arial"/>
        </w:rPr>
        <w:t>are</w:t>
      </w:r>
      <w:r>
        <w:rPr>
          <w:rFonts w:cs="Arial"/>
        </w:rPr>
        <w:t xml:space="preserve"> approx</w:t>
      </w:r>
      <w:r w:rsidR="007A448A">
        <w:rPr>
          <w:rFonts w:cs="Arial"/>
        </w:rPr>
        <w:t xml:space="preserve">imately </w:t>
      </w:r>
      <w:r>
        <w:rPr>
          <w:rFonts w:cs="Arial"/>
        </w:rPr>
        <w:t>£525</w:t>
      </w:r>
      <w:r w:rsidR="00CF5B11">
        <w:rPr>
          <w:rFonts w:cs="Arial"/>
        </w:rPr>
        <w:t>,000</w:t>
      </w:r>
      <w:r>
        <w:rPr>
          <w:rFonts w:cs="Arial"/>
        </w:rPr>
        <w:t xml:space="preserve"> p</w:t>
      </w:r>
      <w:r w:rsidR="007A448A">
        <w:rPr>
          <w:rFonts w:cs="Arial"/>
        </w:rPr>
        <w:t xml:space="preserve">er </w:t>
      </w:r>
      <w:r>
        <w:rPr>
          <w:rFonts w:cs="Arial"/>
        </w:rPr>
        <w:t>a</w:t>
      </w:r>
      <w:r w:rsidR="007A448A">
        <w:rPr>
          <w:rFonts w:cs="Arial"/>
        </w:rPr>
        <w:t>nnum</w:t>
      </w:r>
      <w:r>
        <w:rPr>
          <w:rFonts w:cs="Arial"/>
        </w:rPr>
        <w:t>.  Rental income</w:t>
      </w:r>
      <w:r w:rsidR="00F166D4">
        <w:rPr>
          <w:rFonts w:cs="Arial"/>
        </w:rPr>
        <w:t>, after accounting for void periods and some repairs and maintenance expenditure,</w:t>
      </w:r>
      <w:r>
        <w:rPr>
          <w:rFonts w:cs="Arial"/>
        </w:rPr>
        <w:t xml:space="preserve"> broadly matches this figure, but when the </w:t>
      </w:r>
      <w:r w:rsidR="00F166D4">
        <w:rPr>
          <w:rFonts w:cs="Arial"/>
        </w:rPr>
        <w:t>related</w:t>
      </w:r>
      <w:r>
        <w:rPr>
          <w:rFonts w:cs="Arial"/>
        </w:rPr>
        <w:t xml:space="preserve"> costs of using this accommodation </w:t>
      </w:r>
      <w:r w:rsidR="00F166D4">
        <w:rPr>
          <w:rFonts w:cs="Arial"/>
        </w:rPr>
        <w:t xml:space="preserve">type </w:t>
      </w:r>
      <w:r>
        <w:rPr>
          <w:rFonts w:cs="Arial"/>
        </w:rPr>
        <w:t>are included (</w:t>
      </w:r>
      <w:r w:rsidR="00F166D4">
        <w:rPr>
          <w:rFonts w:cs="Arial"/>
        </w:rPr>
        <w:t xml:space="preserve">e.g. </w:t>
      </w:r>
      <w:r>
        <w:rPr>
          <w:rFonts w:cs="Arial"/>
        </w:rPr>
        <w:t>staff time, utility costs, damage, bad debts, etc</w:t>
      </w:r>
      <w:r w:rsidR="00F166D4">
        <w:rPr>
          <w:rFonts w:cs="Arial"/>
        </w:rPr>
        <w:t>.</w:t>
      </w:r>
      <w:r>
        <w:rPr>
          <w:rFonts w:cs="Arial"/>
        </w:rPr>
        <w:t xml:space="preserve">) then this </w:t>
      </w:r>
      <w:r w:rsidR="00F166D4">
        <w:rPr>
          <w:rFonts w:cs="Arial"/>
        </w:rPr>
        <w:t>creates a net</w:t>
      </w:r>
      <w:r>
        <w:rPr>
          <w:rFonts w:cs="Arial"/>
        </w:rPr>
        <w:t xml:space="preserve"> deficit</w:t>
      </w:r>
      <w:r w:rsidR="00F166D4">
        <w:rPr>
          <w:rFonts w:cs="Arial"/>
        </w:rPr>
        <w:t xml:space="preserve"> position</w:t>
      </w:r>
      <w:r w:rsidR="00187D0F">
        <w:rPr>
          <w:rFonts w:cs="Arial"/>
        </w:rPr>
        <w:t>.</w:t>
      </w:r>
      <w:r>
        <w:rPr>
          <w:rFonts w:cs="Arial"/>
        </w:rPr>
        <w:t xml:space="preserve">   All temporary accommodation rents are current</w:t>
      </w:r>
      <w:r w:rsidR="00F166D4">
        <w:rPr>
          <w:rFonts w:cs="Arial"/>
        </w:rPr>
        <w:t>ly</w:t>
      </w:r>
      <w:r>
        <w:rPr>
          <w:rFonts w:cs="Arial"/>
        </w:rPr>
        <w:t xml:space="preserve"> </w:t>
      </w:r>
      <w:r w:rsidR="00F166D4">
        <w:rPr>
          <w:rFonts w:cs="Arial"/>
        </w:rPr>
        <w:t>aligned</w:t>
      </w:r>
      <w:r>
        <w:rPr>
          <w:rFonts w:cs="Arial"/>
        </w:rPr>
        <w:t xml:space="preserve"> to the maximum Housing Benefit subsidy rate to minimise any loss</w:t>
      </w:r>
      <w:r w:rsidR="00F166D4">
        <w:rPr>
          <w:rFonts w:cs="Arial"/>
        </w:rPr>
        <w:t>, whilst still being affordable for occupants.</w:t>
      </w:r>
    </w:p>
    <w:p w:rsidR="005505A2" w:rsidRPr="001356F1" w:rsidRDefault="005505A2" w:rsidP="005505A2">
      <w:pPr>
        <w:pStyle w:val="Heading1"/>
      </w:pPr>
      <w:r>
        <w:t>Direct Purchase of Property</w:t>
      </w:r>
    </w:p>
    <w:p w:rsidR="005505A2" w:rsidRPr="00EC7373" w:rsidRDefault="005505A2" w:rsidP="005505A2">
      <w:pPr>
        <w:numPr>
          <w:ilvl w:val="0"/>
          <w:numId w:val="34"/>
        </w:numPr>
        <w:ind w:left="360"/>
        <w:rPr>
          <w:rFonts w:cs="Arial"/>
          <w:color w:val="auto"/>
        </w:rPr>
      </w:pPr>
      <w:r>
        <w:t xml:space="preserve">A Fundamental Service Review </w:t>
      </w:r>
      <w:r w:rsidR="00FC17DF">
        <w:t>of</w:t>
      </w:r>
      <w:r>
        <w:t xml:space="preserve"> Housing Needs has shown that </w:t>
      </w:r>
      <w:r w:rsidRPr="005505A2">
        <w:rPr>
          <w:rFonts w:cs="Arial"/>
        </w:rPr>
        <w:t xml:space="preserve">there is a viable business case for the Council to directly purchase </w:t>
      </w:r>
      <w:r w:rsidR="00F166D4">
        <w:rPr>
          <w:rFonts w:cs="Arial"/>
        </w:rPr>
        <w:t xml:space="preserve">dwellings for our </w:t>
      </w:r>
      <w:r w:rsidRPr="005505A2">
        <w:rPr>
          <w:rFonts w:cs="Arial"/>
        </w:rPr>
        <w:t xml:space="preserve">temporary accommodation </w:t>
      </w:r>
      <w:r w:rsidR="00F166D4">
        <w:rPr>
          <w:rFonts w:cs="Arial"/>
        </w:rPr>
        <w:t xml:space="preserve">caseload </w:t>
      </w:r>
      <w:r w:rsidRPr="005505A2">
        <w:rPr>
          <w:rFonts w:cs="Arial"/>
        </w:rPr>
        <w:t xml:space="preserve">to replace some of the </w:t>
      </w:r>
      <w:r w:rsidR="00F166D4">
        <w:rPr>
          <w:rFonts w:cs="Arial"/>
        </w:rPr>
        <w:t xml:space="preserve">remaining </w:t>
      </w:r>
      <w:r w:rsidRPr="005505A2">
        <w:rPr>
          <w:rFonts w:cs="Arial"/>
        </w:rPr>
        <w:t>PSL units.  Such an investment will yield revenue savings</w:t>
      </w:r>
      <w:r w:rsidR="00BA387C">
        <w:rPr>
          <w:rFonts w:cs="Arial"/>
        </w:rPr>
        <w:t xml:space="preserve"> through reductions in external temporary accommodation costs</w:t>
      </w:r>
      <w:r w:rsidR="00187D0F">
        <w:rPr>
          <w:rFonts w:cs="Arial"/>
        </w:rPr>
        <w:t>,</w:t>
      </w:r>
      <w:r w:rsidR="00BA387C">
        <w:rPr>
          <w:rFonts w:cs="Arial"/>
        </w:rPr>
        <w:t xml:space="preserve"> plus a rental stream.  In addition to this, the properties will increase in value over time and if the demand on temporary accommodation reduces, the Council could decide to dispose of these properties to get a capital receipt</w:t>
      </w:r>
      <w:r w:rsidRPr="00EC7373">
        <w:rPr>
          <w:rFonts w:cs="Arial"/>
          <w:color w:val="auto"/>
        </w:rPr>
        <w:t>.</w:t>
      </w:r>
    </w:p>
    <w:p w:rsidR="005505A2" w:rsidRPr="00EC7373" w:rsidRDefault="00432EC0" w:rsidP="00981389">
      <w:pPr>
        <w:numPr>
          <w:ilvl w:val="0"/>
          <w:numId w:val="34"/>
        </w:numPr>
        <w:ind w:left="360"/>
        <w:rPr>
          <w:rFonts w:cs="Arial"/>
          <w:color w:val="auto"/>
        </w:rPr>
      </w:pPr>
      <w:r w:rsidRPr="00EC7373">
        <w:rPr>
          <w:rFonts w:cs="Arial"/>
          <w:color w:val="auto"/>
        </w:rPr>
        <w:t>A</w:t>
      </w:r>
      <w:r w:rsidR="006C2746">
        <w:rPr>
          <w:rFonts w:cs="Arial"/>
          <w:color w:val="auto"/>
        </w:rPr>
        <w:t>ny</w:t>
      </w:r>
      <w:r w:rsidRPr="00EC7373">
        <w:rPr>
          <w:rFonts w:cs="Arial"/>
          <w:color w:val="auto"/>
        </w:rPr>
        <w:t xml:space="preserve"> </w:t>
      </w:r>
      <w:r w:rsidR="006C2746">
        <w:rPr>
          <w:rFonts w:cs="Arial"/>
          <w:color w:val="auto"/>
        </w:rPr>
        <w:t xml:space="preserve">capital expenditure </w:t>
      </w:r>
      <w:r w:rsidR="004F61BE">
        <w:rPr>
          <w:rFonts w:cs="Arial"/>
          <w:color w:val="auto"/>
        </w:rPr>
        <w:t xml:space="preserve">to </w:t>
      </w:r>
      <w:r w:rsidR="006C2746">
        <w:rPr>
          <w:rFonts w:cs="Arial"/>
          <w:color w:val="auto"/>
        </w:rPr>
        <w:t>procur</w:t>
      </w:r>
      <w:r w:rsidR="004F61BE">
        <w:rPr>
          <w:rFonts w:cs="Arial"/>
          <w:color w:val="auto"/>
        </w:rPr>
        <w:t>e</w:t>
      </w:r>
      <w:r w:rsidR="006C2746">
        <w:rPr>
          <w:rFonts w:cs="Arial"/>
          <w:color w:val="auto"/>
        </w:rPr>
        <w:t xml:space="preserve"> dwellings for </w:t>
      </w:r>
      <w:r w:rsidR="005505A2" w:rsidRPr="00EC7373">
        <w:rPr>
          <w:rFonts w:cs="Arial"/>
          <w:color w:val="auto"/>
        </w:rPr>
        <w:t xml:space="preserve">temporary accommodation use would </w:t>
      </w:r>
      <w:r w:rsidR="006C2746">
        <w:rPr>
          <w:rFonts w:cs="Arial"/>
          <w:color w:val="auto"/>
        </w:rPr>
        <w:t>be accounted for within the General Fund.</w:t>
      </w:r>
      <w:r w:rsidR="005505A2" w:rsidRPr="00EC7373">
        <w:rPr>
          <w:rFonts w:cs="Arial"/>
          <w:color w:val="auto"/>
        </w:rPr>
        <w:t xml:space="preserve">  There is no obvious advantage of using the Housing Company vehicle for this investment.  </w:t>
      </w:r>
      <w:r w:rsidR="002934D1">
        <w:rPr>
          <w:rFonts w:cs="Arial"/>
          <w:color w:val="auto"/>
        </w:rPr>
        <w:t>T</w:t>
      </w:r>
      <w:r w:rsidR="005505A2" w:rsidRPr="00EC7373">
        <w:rPr>
          <w:rFonts w:cs="Arial"/>
          <w:color w:val="auto"/>
        </w:rPr>
        <w:t>he HRA could invest in this initiative if the eventual intention w</w:t>
      </w:r>
      <w:r w:rsidR="002934D1">
        <w:rPr>
          <w:rFonts w:cs="Arial"/>
          <w:color w:val="auto"/>
        </w:rPr>
        <w:t>as</w:t>
      </w:r>
      <w:r w:rsidR="005505A2" w:rsidRPr="00EC7373">
        <w:rPr>
          <w:rFonts w:cs="Arial"/>
          <w:color w:val="auto"/>
        </w:rPr>
        <w:t xml:space="preserve"> to convert these units into permanent social housing</w:t>
      </w:r>
      <w:r w:rsidRPr="00EC7373">
        <w:rPr>
          <w:rFonts w:cs="Arial"/>
          <w:color w:val="auto"/>
        </w:rPr>
        <w:t xml:space="preserve">, but this is not </w:t>
      </w:r>
      <w:r w:rsidR="009C0FFF">
        <w:rPr>
          <w:rFonts w:cs="Arial"/>
          <w:color w:val="auto"/>
        </w:rPr>
        <w:t xml:space="preserve">currently </w:t>
      </w:r>
      <w:r w:rsidR="002934D1">
        <w:rPr>
          <w:rFonts w:cs="Arial"/>
          <w:color w:val="auto"/>
        </w:rPr>
        <w:t xml:space="preserve">the </w:t>
      </w:r>
      <w:r w:rsidR="009C0FFF">
        <w:rPr>
          <w:rFonts w:cs="Arial"/>
          <w:color w:val="auto"/>
        </w:rPr>
        <w:t>proposal</w:t>
      </w:r>
      <w:r w:rsidR="005505A2" w:rsidRPr="00EC7373">
        <w:rPr>
          <w:rFonts w:cs="Arial"/>
          <w:color w:val="auto"/>
        </w:rPr>
        <w:t>.</w:t>
      </w:r>
    </w:p>
    <w:p w:rsidR="005505A2" w:rsidRPr="00EC7373" w:rsidRDefault="00BF510B" w:rsidP="00EC7373">
      <w:pPr>
        <w:numPr>
          <w:ilvl w:val="0"/>
          <w:numId w:val="34"/>
        </w:numPr>
        <w:ind w:left="360"/>
        <w:rPr>
          <w:rFonts w:cs="Arial"/>
          <w:color w:val="auto"/>
        </w:rPr>
      </w:pPr>
      <w:r>
        <w:rPr>
          <w:rFonts w:cs="Arial"/>
          <w:color w:val="auto"/>
        </w:rPr>
        <w:t>F</w:t>
      </w:r>
      <w:r w:rsidR="005505A2" w:rsidRPr="00EC7373">
        <w:rPr>
          <w:rFonts w:cs="Arial"/>
          <w:color w:val="auto"/>
        </w:rPr>
        <w:t>inancial modelling</w:t>
      </w:r>
      <w:r>
        <w:rPr>
          <w:rFonts w:cs="Arial"/>
          <w:color w:val="auto"/>
        </w:rPr>
        <w:t>, summarised in Table 1 below,</w:t>
      </w:r>
      <w:r w:rsidR="005505A2" w:rsidRPr="00EC7373">
        <w:rPr>
          <w:rFonts w:cs="Arial"/>
          <w:color w:val="auto"/>
        </w:rPr>
        <w:t xml:space="preserve"> </w:t>
      </w:r>
      <w:r>
        <w:rPr>
          <w:rFonts w:cs="Arial"/>
          <w:color w:val="auto"/>
        </w:rPr>
        <w:t>demonstrates that</w:t>
      </w:r>
      <w:r w:rsidR="005505A2" w:rsidRPr="00EC7373">
        <w:rPr>
          <w:rFonts w:cs="Arial"/>
          <w:color w:val="auto"/>
        </w:rPr>
        <w:t xml:space="preserve"> </w:t>
      </w:r>
      <w:r w:rsidR="006C2746">
        <w:rPr>
          <w:rFonts w:cs="Arial"/>
          <w:color w:val="auto"/>
        </w:rPr>
        <w:t xml:space="preserve">the procurement of TA dwellings </w:t>
      </w:r>
      <w:r w:rsidR="00BA387C">
        <w:rPr>
          <w:rFonts w:cs="Arial"/>
          <w:color w:val="auto"/>
        </w:rPr>
        <w:t xml:space="preserve">30% </w:t>
      </w:r>
      <w:r w:rsidR="006C2746">
        <w:rPr>
          <w:rFonts w:cs="Arial"/>
          <w:color w:val="auto"/>
        </w:rPr>
        <w:t xml:space="preserve">funded by </w:t>
      </w:r>
      <w:r w:rsidR="00BA387C">
        <w:rPr>
          <w:rFonts w:cs="Arial"/>
          <w:color w:val="auto"/>
        </w:rPr>
        <w:t xml:space="preserve">Retained Right to Buy Receipts and the balance by </w:t>
      </w:r>
      <w:r w:rsidR="006C2746">
        <w:rPr>
          <w:rFonts w:cs="Arial"/>
          <w:color w:val="auto"/>
        </w:rPr>
        <w:t>fixed rate maturity loans, together with all associated running costs</w:t>
      </w:r>
      <w:r>
        <w:rPr>
          <w:rFonts w:cs="Arial"/>
          <w:color w:val="auto"/>
        </w:rPr>
        <w:t xml:space="preserve"> and costs of borrowing,</w:t>
      </w:r>
      <w:r w:rsidR="006C2746">
        <w:rPr>
          <w:rFonts w:cs="Arial"/>
          <w:color w:val="auto"/>
        </w:rPr>
        <w:t xml:space="preserve"> is viable and financially beneficial for the GF over the long term.</w:t>
      </w:r>
      <w:r w:rsidR="00EC7373" w:rsidRPr="00EC7373">
        <w:rPr>
          <w:rFonts w:cs="Arial"/>
          <w:color w:val="auto"/>
        </w:rPr>
        <w:t xml:space="preserve"> </w:t>
      </w:r>
      <w:r w:rsidR="00E920C6">
        <w:rPr>
          <w:rFonts w:cs="Arial"/>
          <w:color w:val="auto"/>
        </w:rPr>
        <w:t>In reality it is probable that the Council will make use of its existing cash resources as opposed to external borrowing</w:t>
      </w:r>
      <w:r>
        <w:rPr>
          <w:rFonts w:cs="Arial"/>
          <w:color w:val="auto"/>
        </w:rPr>
        <w:t xml:space="preserve">; the actual financing used for this scheme will be considered as part of the overall financing of the capital programme.  </w:t>
      </w:r>
      <w:r w:rsidR="007A448A">
        <w:rPr>
          <w:rFonts w:cs="Arial"/>
          <w:color w:val="auto"/>
        </w:rPr>
        <w:t xml:space="preserve">The model also allows for </w:t>
      </w:r>
      <w:r w:rsidR="006F6824">
        <w:rPr>
          <w:rFonts w:cs="Arial"/>
          <w:color w:val="auto"/>
        </w:rPr>
        <w:t xml:space="preserve">a </w:t>
      </w:r>
      <w:r w:rsidR="007A448A">
        <w:rPr>
          <w:rFonts w:cs="Arial"/>
          <w:color w:val="auto"/>
        </w:rPr>
        <w:t>Minimum Revenue Provision (MRP)</w:t>
      </w:r>
      <w:r w:rsidR="003C1204">
        <w:rPr>
          <w:rFonts w:cs="Arial"/>
          <w:color w:val="auto"/>
        </w:rPr>
        <w:t xml:space="preserve"> (a charge for repayment of debt)</w:t>
      </w:r>
      <w:r w:rsidR="007A448A">
        <w:rPr>
          <w:rFonts w:cs="Arial"/>
          <w:color w:val="auto"/>
        </w:rPr>
        <w:t xml:space="preserve"> in accordance with public sector accounting rules.</w:t>
      </w:r>
    </w:p>
    <w:p w:rsidR="00EC7373" w:rsidRPr="00EC7373" w:rsidRDefault="00EC7373" w:rsidP="00EC7373">
      <w:pPr>
        <w:numPr>
          <w:ilvl w:val="0"/>
          <w:numId w:val="34"/>
        </w:numPr>
        <w:ind w:left="360"/>
        <w:rPr>
          <w:rFonts w:cs="Arial"/>
          <w:color w:val="auto"/>
        </w:rPr>
      </w:pPr>
      <w:r w:rsidRPr="00EC7373">
        <w:rPr>
          <w:rFonts w:cs="Arial"/>
          <w:color w:val="auto"/>
        </w:rPr>
        <w:t>A number of assumptions and criteria are used in the modelling, but</w:t>
      </w:r>
      <w:r w:rsidR="007A448A">
        <w:rPr>
          <w:rFonts w:cs="Arial"/>
          <w:color w:val="auto"/>
        </w:rPr>
        <w:t xml:space="preserve"> many of</w:t>
      </w:r>
      <w:r w:rsidRPr="00EC7373">
        <w:rPr>
          <w:rFonts w:cs="Arial"/>
          <w:color w:val="auto"/>
        </w:rPr>
        <w:t xml:space="preserve"> these could be flexed.  For example, the percentage split of units by bedroom size could impact on these numbers.  In the</w:t>
      </w:r>
      <w:r w:rsidR="007A448A">
        <w:rPr>
          <w:rFonts w:cs="Arial"/>
          <w:color w:val="auto"/>
        </w:rPr>
        <w:t xml:space="preserve"> </w:t>
      </w:r>
      <w:r w:rsidRPr="00EC7373">
        <w:rPr>
          <w:rFonts w:cs="Arial"/>
          <w:color w:val="auto"/>
        </w:rPr>
        <w:t>model</w:t>
      </w:r>
      <w:r w:rsidR="007A448A">
        <w:rPr>
          <w:rFonts w:cs="Arial"/>
          <w:color w:val="auto"/>
        </w:rPr>
        <w:t>ling</w:t>
      </w:r>
      <w:r w:rsidRPr="00EC7373">
        <w:rPr>
          <w:rFonts w:cs="Arial"/>
          <w:color w:val="auto"/>
        </w:rPr>
        <w:t xml:space="preserve"> however, £10m investment </w:t>
      </w:r>
      <w:r w:rsidR="007A448A">
        <w:rPr>
          <w:rFonts w:cs="Arial"/>
          <w:color w:val="auto"/>
        </w:rPr>
        <w:t xml:space="preserve">is shown as sufficient to </w:t>
      </w:r>
      <w:r w:rsidRPr="00EC7373">
        <w:rPr>
          <w:rFonts w:cs="Arial"/>
          <w:color w:val="auto"/>
        </w:rPr>
        <w:t>be used to acquire about 39 units in</w:t>
      </w:r>
      <w:r w:rsidR="00642369">
        <w:rPr>
          <w:rFonts w:cs="Arial"/>
          <w:color w:val="auto"/>
        </w:rPr>
        <w:t>,</w:t>
      </w:r>
      <w:r w:rsidRPr="00EC7373">
        <w:rPr>
          <w:rFonts w:cs="Arial"/>
          <w:color w:val="auto"/>
        </w:rPr>
        <w:t xml:space="preserve"> </w:t>
      </w:r>
      <w:r w:rsidR="00642369">
        <w:rPr>
          <w:rFonts w:cs="Arial"/>
          <w:color w:val="auto"/>
        </w:rPr>
        <w:t>or within close proximity to</w:t>
      </w:r>
      <w:r w:rsidR="00D34C6E">
        <w:rPr>
          <w:rFonts w:cs="Arial"/>
          <w:color w:val="auto"/>
        </w:rPr>
        <w:t>,</w:t>
      </w:r>
      <w:r w:rsidR="00642369">
        <w:rPr>
          <w:rFonts w:cs="Arial"/>
          <w:color w:val="auto"/>
        </w:rPr>
        <w:t xml:space="preserve"> </w:t>
      </w:r>
      <w:r w:rsidRPr="00EC7373">
        <w:rPr>
          <w:rFonts w:cs="Arial"/>
          <w:color w:val="auto"/>
        </w:rPr>
        <w:t>Oxford.</w:t>
      </w:r>
    </w:p>
    <w:p w:rsidR="005505A2" w:rsidRPr="00EC7373" w:rsidRDefault="006F6824" w:rsidP="00981389">
      <w:pPr>
        <w:numPr>
          <w:ilvl w:val="0"/>
          <w:numId w:val="34"/>
        </w:numPr>
        <w:ind w:left="360"/>
        <w:rPr>
          <w:rFonts w:cs="Arial"/>
          <w:color w:val="auto"/>
        </w:rPr>
      </w:pPr>
      <w:r>
        <w:rPr>
          <w:rFonts w:cs="Arial"/>
          <w:color w:val="auto"/>
        </w:rPr>
        <w:lastRenderedPageBreak/>
        <w:t xml:space="preserve">The GF revenue impact once all the properties are acquired is </w:t>
      </w:r>
      <w:r w:rsidR="00832220">
        <w:rPr>
          <w:rFonts w:cs="Arial"/>
          <w:color w:val="auto"/>
        </w:rPr>
        <w:t>an initial</w:t>
      </w:r>
      <w:r>
        <w:rPr>
          <w:rFonts w:cs="Arial"/>
          <w:color w:val="auto"/>
        </w:rPr>
        <w:t xml:space="preserve"> </w:t>
      </w:r>
      <w:r w:rsidR="00A87C71">
        <w:rPr>
          <w:rFonts w:cs="Arial"/>
          <w:color w:val="auto"/>
        </w:rPr>
        <w:t xml:space="preserve">full year </w:t>
      </w:r>
      <w:r>
        <w:rPr>
          <w:rFonts w:cs="Arial"/>
          <w:color w:val="auto"/>
        </w:rPr>
        <w:t>saving of £</w:t>
      </w:r>
      <w:r w:rsidR="00A87C71">
        <w:rPr>
          <w:rFonts w:cs="Arial"/>
          <w:color w:val="auto"/>
        </w:rPr>
        <w:t>193</w:t>
      </w:r>
      <w:r>
        <w:rPr>
          <w:rFonts w:cs="Arial"/>
          <w:color w:val="auto"/>
        </w:rPr>
        <w:t xml:space="preserve">k a year and rising each year thereafter. The savings </w:t>
      </w:r>
      <w:r w:rsidR="00A87C71">
        <w:rPr>
          <w:rFonts w:cs="Arial"/>
          <w:color w:val="auto"/>
        </w:rPr>
        <w:t xml:space="preserve">include </w:t>
      </w:r>
      <w:r w:rsidR="005505A2" w:rsidRPr="00EC7373">
        <w:rPr>
          <w:rFonts w:cs="Arial"/>
          <w:color w:val="auto"/>
        </w:rPr>
        <w:t>reduced TA expenditure</w:t>
      </w:r>
      <w:r w:rsidR="007A448A">
        <w:rPr>
          <w:rFonts w:cs="Arial"/>
          <w:color w:val="auto"/>
        </w:rPr>
        <w:t xml:space="preserve"> on PSLs</w:t>
      </w:r>
      <w:r w:rsidR="005505A2" w:rsidRPr="00EC7373">
        <w:rPr>
          <w:rFonts w:cs="Arial"/>
          <w:color w:val="auto"/>
        </w:rPr>
        <w:t xml:space="preserve">.  This saving is based on the assumption that </w:t>
      </w:r>
      <w:r w:rsidR="007A448A">
        <w:rPr>
          <w:rFonts w:cs="Arial"/>
          <w:color w:val="auto"/>
        </w:rPr>
        <w:t xml:space="preserve">around </w:t>
      </w:r>
      <w:r w:rsidR="005505A2" w:rsidRPr="00EC7373">
        <w:rPr>
          <w:rFonts w:cs="Arial"/>
          <w:color w:val="auto"/>
        </w:rPr>
        <w:t xml:space="preserve">30 PSL units are replaced by this new provision (representing a drop of </w:t>
      </w:r>
      <w:r w:rsidR="007A448A">
        <w:rPr>
          <w:rFonts w:cs="Arial"/>
          <w:color w:val="auto"/>
        </w:rPr>
        <w:t xml:space="preserve">about </w:t>
      </w:r>
      <w:r w:rsidR="005505A2" w:rsidRPr="00EC7373">
        <w:rPr>
          <w:rFonts w:cs="Arial"/>
          <w:color w:val="auto"/>
        </w:rPr>
        <w:t xml:space="preserve">60% of current PSL use).  </w:t>
      </w:r>
      <w:r w:rsidR="007A448A">
        <w:rPr>
          <w:rFonts w:cs="Arial"/>
          <w:color w:val="auto"/>
        </w:rPr>
        <w:t xml:space="preserve">It is proposed that </w:t>
      </w:r>
      <w:r w:rsidR="002B1526">
        <w:rPr>
          <w:rFonts w:cs="Arial"/>
          <w:color w:val="auto"/>
        </w:rPr>
        <w:t>the</w:t>
      </w:r>
      <w:r w:rsidR="005505A2" w:rsidRPr="00EC7373">
        <w:rPr>
          <w:rFonts w:cs="Arial"/>
          <w:color w:val="auto"/>
        </w:rPr>
        <w:t xml:space="preserve"> remaining </w:t>
      </w:r>
      <w:r w:rsidR="002B1526">
        <w:rPr>
          <w:rFonts w:cs="Arial"/>
          <w:color w:val="auto"/>
        </w:rPr>
        <w:t xml:space="preserve">9 </w:t>
      </w:r>
      <w:r w:rsidR="005505A2" w:rsidRPr="00EC7373">
        <w:rPr>
          <w:rFonts w:cs="Arial"/>
          <w:color w:val="auto"/>
        </w:rPr>
        <w:t xml:space="preserve">units </w:t>
      </w:r>
      <w:r w:rsidR="0084792C">
        <w:rPr>
          <w:rFonts w:cs="Arial"/>
          <w:color w:val="auto"/>
        </w:rPr>
        <w:t>are used to replace</w:t>
      </w:r>
      <w:r w:rsidR="005505A2" w:rsidRPr="00EC7373">
        <w:rPr>
          <w:rFonts w:cs="Arial"/>
          <w:color w:val="auto"/>
        </w:rPr>
        <w:t xml:space="preserve"> HRA</w:t>
      </w:r>
      <w:r w:rsidR="0084792C">
        <w:rPr>
          <w:rFonts w:cs="Arial"/>
          <w:color w:val="auto"/>
        </w:rPr>
        <w:t xml:space="preserve"> properties</w:t>
      </w:r>
      <w:r w:rsidR="005505A2" w:rsidRPr="00EC7373">
        <w:rPr>
          <w:rFonts w:cs="Arial"/>
          <w:color w:val="auto"/>
        </w:rPr>
        <w:t xml:space="preserve">, which has the potential to </w:t>
      </w:r>
      <w:r>
        <w:rPr>
          <w:rFonts w:cs="Arial"/>
          <w:color w:val="auto"/>
        </w:rPr>
        <w:t xml:space="preserve">make </w:t>
      </w:r>
      <w:r w:rsidR="0084792C">
        <w:rPr>
          <w:rFonts w:cs="Arial"/>
          <w:color w:val="auto"/>
        </w:rPr>
        <w:t xml:space="preserve">existing </w:t>
      </w:r>
      <w:r w:rsidR="005505A2" w:rsidRPr="00EC7373">
        <w:rPr>
          <w:rFonts w:cs="Arial"/>
          <w:color w:val="auto"/>
        </w:rPr>
        <w:t xml:space="preserve">sites </w:t>
      </w:r>
      <w:r w:rsidR="0084792C">
        <w:rPr>
          <w:rFonts w:cs="Arial"/>
          <w:color w:val="auto"/>
        </w:rPr>
        <w:t xml:space="preserve">available </w:t>
      </w:r>
      <w:r w:rsidR="005505A2" w:rsidRPr="00EC7373">
        <w:rPr>
          <w:rFonts w:cs="Arial"/>
          <w:color w:val="auto"/>
        </w:rPr>
        <w:t>for</w:t>
      </w:r>
      <w:r w:rsidR="0084792C">
        <w:rPr>
          <w:rFonts w:cs="Arial"/>
          <w:color w:val="auto"/>
        </w:rPr>
        <w:t xml:space="preserve"> </w:t>
      </w:r>
      <w:r w:rsidR="005505A2" w:rsidRPr="00EC7373">
        <w:rPr>
          <w:rFonts w:cs="Arial"/>
          <w:color w:val="auto"/>
        </w:rPr>
        <w:t>development (accelerating these sites in the current development programme)</w:t>
      </w:r>
      <w:r w:rsidR="00D34C6E">
        <w:rPr>
          <w:rFonts w:cs="Arial"/>
          <w:color w:val="auto"/>
        </w:rPr>
        <w:t>,</w:t>
      </w:r>
      <w:r w:rsidR="005505A2" w:rsidRPr="00EC7373">
        <w:rPr>
          <w:rFonts w:cs="Arial"/>
          <w:color w:val="auto"/>
        </w:rPr>
        <w:t xml:space="preserve"> or </w:t>
      </w:r>
      <w:r w:rsidR="00D34C6E">
        <w:rPr>
          <w:rFonts w:cs="Arial"/>
          <w:color w:val="auto"/>
        </w:rPr>
        <w:t xml:space="preserve">be </w:t>
      </w:r>
      <w:r w:rsidR="003665A3">
        <w:rPr>
          <w:rFonts w:cs="Arial"/>
          <w:color w:val="auto"/>
        </w:rPr>
        <w:t xml:space="preserve">brought </w:t>
      </w:r>
      <w:r w:rsidR="005505A2" w:rsidRPr="00EC7373">
        <w:rPr>
          <w:rFonts w:cs="Arial"/>
          <w:color w:val="auto"/>
        </w:rPr>
        <w:t>back in</w:t>
      </w:r>
      <w:r w:rsidR="007A448A">
        <w:rPr>
          <w:rFonts w:cs="Arial"/>
          <w:color w:val="auto"/>
        </w:rPr>
        <w:t xml:space="preserve">to </w:t>
      </w:r>
      <w:r>
        <w:rPr>
          <w:rFonts w:cs="Arial"/>
          <w:color w:val="auto"/>
        </w:rPr>
        <w:t xml:space="preserve">HRA </w:t>
      </w:r>
      <w:r w:rsidR="007A448A">
        <w:rPr>
          <w:rFonts w:cs="Arial"/>
          <w:color w:val="auto"/>
        </w:rPr>
        <w:t xml:space="preserve">permanent social use again. </w:t>
      </w:r>
    </w:p>
    <w:p w:rsidR="001416AA" w:rsidRDefault="006F6824" w:rsidP="001416AA">
      <w:pPr>
        <w:numPr>
          <w:ilvl w:val="0"/>
          <w:numId w:val="34"/>
        </w:numPr>
        <w:ind w:left="360"/>
        <w:rPr>
          <w:rFonts w:cs="Arial"/>
          <w:color w:val="auto"/>
        </w:rPr>
      </w:pPr>
      <w:r>
        <w:rPr>
          <w:rFonts w:cs="Arial"/>
          <w:color w:val="auto"/>
        </w:rPr>
        <w:t>A summary of the potential annual revenue benefits are detailed below:</w:t>
      </w:r>
      <w:r w:rsidR="005505A2" w:rsidRPr="00EC7373">
        <w:rPr>
          <w:rFonts w:cs="Arial"/>
          <w:color w:val="auto"/>
        </w:rPr>
        <w:t xml:space="preserve"> </w:t>
      </w:r>
    </w:p>
    <w:p w:rsidR="001416AA" w:rsidRPr="00FC17DF" w:rsidRDefault="001416AA" w:rsidP="00DF596E">
      <w:pPr>
        <w:ind w:left="360"/>
        <w:rPr>
          <w:rFonts w:cs="Arial"/>
          <w:b/>
          <w:color w:val="auto"/>
        </w:rPr>
      </w:pPr>
      <w:r w:rsidRPr="00FC17DF">
        <w:rPr>
          <w:rFonts w:cs="Arial"/>
          <w:b/>
          <w:color w:val="auto"/>
        </w:rPr>
        <w:t>TABLE 1: Estimated General Fund Revenue Savings</w:t>
      </w:r>
    </w:p>
    <w:p w:rsidR="00B67B42" w:rsidRPr="001416AA" w:rsidRDefault="00B67B42" w:rsidP="00DF596E">
      <w:pPr>
        <w:rPr>
          <w:rFonts w:cs="Arial"/>
          <w:color w:val="auto"/>
        </w:rPr>
      </w:pPr>
      <w:r w:rsidRPr="00B67B42">
        <w:rPr>
          <w:noProof/>
        </w:rPr>
        <w:drawing>
          <wp:inline distT="0" distB="0" distL="0" distR="0" wp14:anchorId="2547915E" wp14:editId="45A09246">
            <wp:extent cx="5760720" cy="2464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81" cy="2464255"/>
                    </a:xfrm>
                    <a:prstGeom prst="rect">
                      <a:avLst/>
                    </a:prstGeom>
                    <a:noFill/>
                    <a:ln>
                      <a:noFill/>
                    </a:ln>
                  </pic:spPr>
                </pic:pic>
              </a:graphicData>
            </a:graphic>
          </wp:inline>
        </w:drawing>
      </w:r>
    </w:p>
    <w:p w:rsidR="00362814" w:rsidRPr="00EC7373" w:rsidRDefault="00362814" w:rsidP="00DF596E">
      <w:pPr>
        <w:ind w:left="360" w:hanging="360"/>
        <w:rPr>
          <w:rFonts w:cs="Arial"/>
          <w:color w:val="auto"/>
        </w:rPr>
      </w:pPr>
    </w:p>
    <w:p w:rsidR="0023702B" w:rsidRPr="00D82A3F" w:rsidRDefault="00285E69" w:rsidP="00DF596E">
      <w:pPr>
        <w:numPr>
          <w:ilvl w:val="0"/>
          <w:numId w:val="34"/>
        </w:numPr>
        <w:ind w:left="426" w:hanging="426"/>
        <w:rPr>
          <w:rFonts w:cs="Arial"/>
          <w:color w:val="auto"/>
        </w:rPr>
      </w:pPr>
      <w:r>
        <w:rPr>
          <w:rFonts w:cs="Arial"/>
          <w:color w:val="auto"/>
        </w:rPr>
        <w:t>P</w:t>
      </w:r>
      <w:r w:rsidR="005505A2" w:rsidRPr="00C0607F">
        <w:rPr>
          <w:rFonts w:cs="Arial"/>
          <w:color w:val="auto"/>
        </w:rPr>
        <w:t>rocure</w:t>
      </w:r>
      <w:r>
        <w:rPr>
          <w:rFonts w:cs="Arial"/>
          <w:color w:val="auto"/>
        </w:rPr>
        <w:t>ment of</w:t>
      </w:r>
      <w:r w:rsidR="005505A2" w:rsidRPr="00C0607F">
        <w:rPr>
          <w:rFonts w:cs="Arial"/>
          <w:color w:val="auto"/>
        </w:rPr>
        <w:t xml:space="preserve"> properties </w:t>
      </w:r>
      <w:r w:rsidR="00DA7E1D">
        <w:rPr>
          <w:rFonts w:cs="Arial"/>
          <w:color w:val="auto"/>
        </w:rPr>
        <w:t>could</w:t>
      </w:r>
      <w:r>
        <w:rPr>
          <w:rFonts w:cs="Arial"/>
          <w:color w:val="auto"/>
        </w:rPr>
        <w:t xml:space="preserve"> take place </w:t>
      </w:r>
      <w:r w:rsidR="005505A2" w:rsidRPr="00C0607F">
        <w:rPr>
          <w:rFonts w:cs="Arial"/>
          <w:color w:val="auto"/>
        </w:rPr>
        <w:t xml:space="preserve">over a </w:t>
      </w:r>
      <w:r w:rsidR="00E60539">
        <w:rPr>
          <w:rFonts w:cs="Arial"/>
          <w:color w:val="auto"/>
        </w:rPr>
        <w:t xml:space="preserve">1 – 2 year </w:t>
      </w:r>
      <w:r w:rsidR="005505A2" w:rsidRPr="00C0607F">
        <w:rPr>
          <w:rFonts w:cs="Arial"/>
          <w:color w:val="auto"/>
        </w:rPr>
        <w:t>time</w:t>
      </w:r>
      <w:r w:rsidR="00E60539">
        <w:rPr>
          <w:rFonts w:cs="Arial"/>
          <w:color w:val="auto"/>
        </w:rPr>
        <w:t>frame</w:t>
      </w:r>
      <w:r w:rsidR="005505A2" w:rsidRPr="00C0607F">
        <w:rPr>
          <w:rFonts w:cs="Arial"/>
          <w:color w:val="auto"/>
        </w:rPr>
        <w:t xml:space="preserve"> so as to manage the project and not inflate and distort the local market</w:t>
      </w:r>
      <w:r w:rsidR="00EC7373" w:rsidRPr="0046656D">
        <w:rPr>
          <w:rFonts w:cs="Arial"/>
          <w:color w:val="auto"/>
        </w:rPr>
        <w:t xml:space="preserve">.  </w:t>
      </w:r>
      <w:r>
        <w:rPr>
          <w:rFonts w:cs="Arial"/>
          <w:color w:val="auto"/>
        </w:rPr>
        <w:t>T</w:t>
      </w:r>
      <w:r w:rsidR="00EC7373" w:rsidRPr="0046656D">
        <w:rPr>
          <w:rFonts w:cs="Arial"/>
          <w:color w:val="auto"/>
        </w:rPr>
        <w:t xml:space="preserve">imeframes could be </w:t>
      </w:r>
      <w:r w:rsidR="005505A2" w:rsidRPr="0046656D">
        <w:rPr>
          <w:rFonts w:cs="Arial"/>
          <w:color w:val="auto"/>
        </w:rPr>
        <w:t>accelerate</w:t>
      </w:r>
      <w:r w:rsidR="00EC7373" w:rsidRPr="00D82A3F">
        <w:rPr>
          <w:rFonts w:cs="Arial"/>
          <w:color w:val="auto"/>
        </w:rPr>
        <w:t xml:space="preserve">d by </w:t>
      </w:r>
      <w:r w:rsidR="00D13DF6">
        <w:rPr>
          <w:rFonts w:cs="Arial"/>
          <w:color w:val="auto"/>
        </w:rPr>
        <w:t xml:space="preserve">purchasing in </w:t>
      </w:r>
      <w:r w:rsidR="00EC7373" w:rsidRPr="00D82A3F">
        <w:rPr>
          <w:rFonts w:cs="Arial"/>
          <w:color w:val="auto"/>
        </w:rPr>
        <w:t>v</w:t>
      </w:r>
      <w:r w:rsidR="005505A2" w:rsidRPr="00D82A3F">
        <w:rPr>
          <w:rFonts w:cs="Arial"/>
          <w:color w:val="auto"/>
        </w:rPr>
        <w:t xml:space="preserve">olume </w:t>
      </w:r>
      <w:r w:rsidR="00D13DF6">
        <w:rPr>
          <w:rFonts w:cs="Arial"/>
          <w:color w:val="auto"/>
        </w:rPr>
        <w:t xml:space="preserve">off plan </w:t>
      </w:r>
      <w:r w:rsidR="00E60539" w:rsidRPr="00D82A3F">
        <w:rPr>
          <w:rFonts w:cs="Arial"/>
          <w:color w:val="auto"/>
        </w:rPr>
        <w:t xml:space="preserve">from developers – probably in Didcot and Bicester.  Properties may be pepper-potted in some way, but 10-20 units per development </w:t>
      </w:r>
      <w:r w:rsidR="00E60539" w:rsidRPr="0046656D">
        <w:rPr>
          <w:rFonts w:cs="Arial"/>
          <w:color w:val="auto"/>
        </w:rPr>
        <w:t xml:space="preserve">could be acquired.  </w:t>
      </w:r>
      <w:r w:rsidR="00DA7E1D">
        <w:rPr>
          <w:rFonts w:cs="Arial"/>
          <w:color w:val="auto"/>
        </w:rPr>
        <w:t>These areas are considered to be</w:t>
      </w:r>
      <w:r w:rsidR="005505A2" w:rsidRPr="00D82A3F">
        <w:rPr>
          <w:rFonts w:cs="Arial"/>
          <w:color w:val="auto"/>
        </w:rPr>
        <w:t xml:space="preserve"> within reasonable commuting distance for low-waged households.  Two years of additional resource </w:t>
      </w:r>
      <w:r w:rsidR="00E920C6">
        <w:rPr>
          <w:rFonts w:cs="Arial"/>
          <w:color w:val="auto"/>
        </w:rPr>
        <w:t>has been included within the model for</w:t>
      </w:r>
      <w:r w:rsidR="005505A2" w:rsidRPr="00D82A3F">
        <w:rPr>
          <w:rFonts w:cs="Arial"/>
          <w:color w:val="auto"/>
        </w:rPr>
        <w:t xml:space="preserve"> th</w:t>
      </w:r>
      <w:r w:rsidR="00E60539">
        <w:rPr>
          <w:rFonts w:cs="Arial"/>
          <w:color w:val="auto"/>
        </w:rPr>
        <w:t>e</w:t>
      </w:r>
      <w:r w:rsidR="005505A2" w:rsidRPr="00D82A3F">
        <w:rPr>
          <w:rFonts w:cs="Arial"/>
          <w:color w:val="auto"/>
        </w:rPr>
        <w:t xml:space="preserve"> acquisition process.  It is assumed that conveyancing activity would </w:t>
      </w:r>
      <w:r w:rsidR="00246784" w:rsidRPr="00D82A3F">
        <w:rPr>
          <w:rFonts w:cs="Arial"/>
          <w:color w:val="auto"/>
        </w:rPr>
        <w:t xml:space="preserve">be </w:t>
      </w:r>
      <w:r w:rsidR="005505A2" w:rsidRPr="00D82A3F">
        <w:rPr>
          <w:rFonts w:cs="Arial"/>
          <w:color w:val="auto"/>
        </w:rPr>
        <w:t>in-house,</w:t>
      </w:r>
      <w:r w:rsidR="000123A9">
        <w:rPr>
          <w:rFonts w:cs="Arial"/>
          <w:color w:val="auto"/>
        </w:rPr>
        <w:t xml:space="preserve"> </w:t>
      </w:r>
      <w:r w:rsidR="005505A2" w:rsidRPr="00D82A3F">
        <w:rPr>
          <w:rFonts w:cs="Arial"/>
          <w:color w:val="auto"/>
        </w:rPr>
        <w:t xml:space="preserve">using current resource capacity.  </w:t>
      </w:r>
    </w:p>
    <w:p w:rsidR="00EC7373" w:rsidRPr="0023702B" w:rsidRDefault="00EC7373" w:rsidP="0023702B">
      <w:pPr>
        <w:pStyle w:val="bParagraphtext"/>
        <w:numPr>
          <w:ilvl w:val="0"/>
          <w:numId w:val="0"/>
        </w:numPr>
        <w:ind w:left="426" w:hanging="426"/>
        <w:rPr>
          <w:b/>
        </w:rPr>
      </w:pPr>
      <w:r>
        <w:rPr>
          <w:b/>
        </w:rPr>
        <w:t xml:space="preserve">Funding and Retained Right to Buy </w:t>
      </w:r>
      <w:r w:rsidR="00832220">
        <w:rPr>
          <w:b/>
        </w:rPr>
        <w:t>Receipts</w:t>
      </w:r>
      <w:r w:rsidRPr="001356F1">
        <w:rPr>
          <w:b/>
        </w:rPr>
        <w:t xml:space="preserve"> </w:t>
      </w:r>
    </w:p>
    <w:p w:rsidR="0023702B" w:rsidRDefault="00981389" w:rsidP="00981389">
      <w:pPr>
        <w:numPr>
          <w:ilvl w:val="0"/>
          <w:numId w:val="34"/>
        </w:numPr>
        <w:ind w:left="360"/>
        <w:rPr>
          <w:rFonts w:cs="Arial"/>
          <w:color w:val="auto"/>
        </w:rPr>
      </w:pPr>
      <w:r w:rsidRPr="00EC7373">
        <w:rPr>
          <w:rFonts w:cs="Arial"/>
          <w:color w:val="auto"/>
        </w:rPr>
        <w:t xml:space="preserve">In 2012, the Government </w:t>
      </w:r>
      <w:r w:rsidR="00832220">
        <w:rPr>
          <w:rFonts w:cs="Arial"/>
          <w:color w:val="auto"/>
        </w:rPr>
        <w:t xml:space="preserve">re-invigorated and enhanced </w:t>
      </w:r>
      <w:r w:rsidRPr="00EC7373">
        <w:rPr>
          <w:rFonts w:cs="Arial"/>
          <w:color w:val="auto"/>
        </w:rPr>
        <w:t xml:space="preserve"> the </w:t>
      </w:r>
      <w:r w:rsidR="00832220">
        <w:rPr>
          <w:rFonts w:cs="Arial"/>
          <w:color w:val="auto"/>
        </w:rPr>
        <w:t xml:space="preserve">then </w:t>
      </w:r>
      <w:r w:rsidRPr="00EC7373">
        <w:rPr>
          <w:rFonts w:cs="Arial"/>
          <w:color w:val="auto"/>
        </w:rPr>
        <w:t xml:space="preserve">Right to Buy scheme, raising discounts </w:t>
      </w:r>
      <w:r w:rsidR="00832220">
        <w:rPr>
          <w:rFonts w:cs="Arial"/>
          <w:color w:val="auto"/>
        </w:rPr>
        <w:t xml:space="preserve">for tenants </w:t>
      </w:r>
      <w:r w:rsidRPr="00EC7373">
        <w:rPr>
          <w:rFonts w:cs="Arial"/>
          <w:color w:val="auto"/>
        </w:rPr>
        <w:t xml:space="preserve">and </w:t>
      </w:r>
      <w:r w:rsidR="00832220">
        <w:rPr>
          <w:rFonts w:cs="Arial"/>
          <w:color w:val="auto"/>
        </w:rPr>
        <w:t>for additional disposals experienced</w:t>
      </w:r>
      <w:r w:rsidR="00F31E5F">
        <w:rPr>
          <w:rFonts w:cs="Arial"/>
          <w:color w:val="auto"/>
        </w:rPr>
        <w:t xml:space="preserve"> by</w:t>
      </w:r>
      <w:r w:rsidR="00832220">
        <w:rPr>
          <w:rFonts w:cs="Arial"/>
          <w:color w:val="auto"/>
        </w:rPr>
        <w:t xml:space="preserve"> local authority landlord</w:t>
      </w:r>
      <w:r w:rsidR="00F31E5F">
        <w:rPr>
          <w:rFonts w:cs="Arial"/>
          <w:color w:val="auto"/>
        </w:rPr>
        <w:t>s</w:t>
      </w:r>
      <w:r w:rsidR="00832220">
        <w:rPr>
          <w:rFonts w:cs="Arial"/>
          <w:color w:val="auto"/>
        </w:rPr>
        <w:t xml:space="preserve"> </w:t>
      </w:r>
      <w:r w:rsidRPr="00EC7373">
        <w:rPr>
          <w:rFonts w:cs="Arial"/>
          <w:color w:val="auto"/>
        </w:rPr>
        <w:t>allowing the</w:t>
      </w:r>
      <w:r w:rsidR="00832220">
        <w:rPr>
          <w:rFonts w:cs="Arial"/>
          <w:color w:val="auto"/>
        </w:rPr>
        <w:t>m</w:t>
      </w:r>
      <w:r w:rsidRPr="00EC7373">
        <w:rPr>
          <w:rFonts w:cs="Arial"/>
          <w:color w:val="auto"/>
        </w:rPr>
        <w:t xml:space="preserve"> to retain a </w:t>
      </w:r>
      <w:r w:rsidR="00832220">
        <w:rPr>
          <w:rFonts w:cs="Arial"/>
          <w:color w:val="auto"/>
        </w:rPr>
        <w:t xml:space="preserve">greater </w:t>
      </w:r>
      <w:r w:rsidRPr="00EC7373">
        <w:rPr>
          <w:rFonts w:cs="Arial"/>
          <w:color w:val="auto"/>
        </w:rPr>
        <w:t xml:space="preserve">portion of the </w:t>
      </w:r>
      <w:r w:rsidR="00832220">
        <w:rPr>
          <w:rFonts w:cs="Arial"/>
          <w:color w:val="auto"/>
        </w:rPr>
        <w:t xml:space="preserve">capital receipt </w:t>
      </w:r>
      <w:r w:rsidR="00F31E5F">
        <w:rPr>
          <w:rFonts w:cs="Arial"/>
          <w:color w:val="auto"/>
        </w:rPr>
        <w:t xml:space="preserve">generated </w:t>
      </w:r>
      <w:r w:rsidR="00832220">
        <w:rPr>
          <w:rFonts w:cs="Arial"/>
          <w:color w:val="auto"/>
        </w:rPr>
        <w:t xml:space="preserve">that otherwise would have been subject to pooling i.e. returned to the Government. The circumstances, process and use of retaining RTB capital receipts was detailed in individual authority Secretary of State </w:t>
      </w:r>
      <w:r w:rsidR="00F31E5F">
        <w:rPr>
          <w:rFonts w:cs="Arial"/>
          <w:color w:val="auto"/>
        </w:rPr>
        <w:t>Agreements</w:t>
      </w:r>
      <w:r w:rsidR="00832220">
        <w:rPr>
          <w:rFonts w:cs="Arial"/>
          <w:color w:val="auto"/>
        </w:rPr>
        <w:t xml:space="preserve"> and Oxford City Council’s was signed in June 2012.</w:t>
      </w:r>
      <w:r w:rsidRPr="00EC7373">
        <w:rPr>
          <w:rFonts w:cs="Arial"/>
          <w:color w:val="auto"/>
        </w:rPr>
        <w:t xml:space="preserve">  </w:t>
      </w:r>
    </w:p>
    <w:p w:rsidR="0023702B" w:rsidRDefault="00981389" w:rsidP="00981389">
      <w:pPr>
        <w:numPr>
          <w:ilvl w:val="0"/>
          <w:numId w:val="34"/>
        </w:numPr>
        <w:ind w:left="360"/>
        <w:rPr>
          <w:rFonts w:cs="Arial"/>
          <w:color w:val="auto"/>
        </w:rPr>
      </w:pPr>
      <w:r w:rsidRPr="0023702B">
        <w:rPr>
          <w:rFonts w:cs="Arial"/>
          <w:color w:val="auto"/>
        </w:rPr>
        <w:t xml:space="preserve">The </w:t>
      </w:r>
      <w:r w:rsidR="00F31E5F">
        <w:rPr>
          <w:rFonts w:cs="Arial"/>
          <w:color w:val="auto"/>
        </w:rPr>
        <w:t xml:space="preserve">Secretary of State </w:t>
      </w:r>
      <w:r w:rsidRPr="0023702B">
        <w:rPr>
          <w:rFonts w:cs="Arial"/>
          <w:color w:val="auto"/>
        </w:rPr>
        <w:t>Agreement</w:t>
      </w:r>
      <w:r w:rsidR="00F31E5F">
        <w:rPr>
          <w:rFonts w:cs="Arial"/>
          <w:color w:val="auto"/>
        </w:rPr>
        <w:t>s</w:t>
      </w:r>
      <w:r w:rsidRPr="0023702B">
        <w:rPr>
          <w:rFonts w:cs="Arial"/>
          <w:color w:val="auto"/>
        </w:rPr>
        <w:t xml:space="preserve"> stipulate </w:t>
      </w:r>
      <w:r w:rsidR="00F31E5F">
        <w:rPr>
          <w:rFonts w:cs="Arial"/>
          <w:color w:val="auto"/>
        </w:rPr>
        <w:t xml:space="preserve">the qualifying expenditure for which RRTB capital receipts can be applied, the timing of when they must be spent and the financial penalties for any that end up having to be returned back to Government. Effectively, the RRTB </w:t>
      </w:r>
      <w:r w:rsidRPr="0023702B">
        <w:rPr>
          <w:rFonts w:cs="Arial"/>
          <w:color w:val="auto"/>
        </w:rPr>
        <w:t xml:space="preserve">receipts must be used to finance </w:t>
      </w:r>
      <w:r w:rsidR="00F31E5F">
        <w:rPr>
          <w:rFonts w:cs="Arial"/>
          <w:color w:val="auto"/>
        </w:rPr>
        <w:t>qualifying expenditure</w:t>
      </w:r>
      <w:r w:rsidRPr="0023702B">
        <w:rPr>
          <w:rFonts w:cs="Arial"/>
          <w:color w:val="auto"/>
        </w:rPr>
        <w:t xml:space="preserve"> within 3 years of </w:t>
      </w:r>
      <w:r w:rsidR="00F31E5F">
        <w:rPr>
          <w:rFonts w:cs="Arial"/>
          <w:color w:val="auto"/>
        </w:rPr>
        <w:t>each quarter day from April 2012</w:t>
      </w:r>
      <w:r w:rsidRPr="0023702B">
        <w:rPr>
          <w:rFonts w:cs="Arial"/>
          <w:color w:val="auto"/>
        </w:rPr>
        <w:t xml:space="preserve">.  The receipts can </w:t>
      </w:r>
      <w:r w:rsidRPr="0023702B">
        <w:rPr>
          <w:rFonts w:cs="Arial"/>
          <w:color w:val="auto"/>
        </w:rPr>
        <w:lastRenderedPageBreak/>
        <w:t xml:space="preserve">only be used to finance </w:t>
      </w:r>
      <w:r w:rsidR="00F31E5F">
        <w:rPr>
          <w:rFonts w:cs="Arial"/>
          <w:color w:val="auto"/>
        </w:rPr>
        <w:t>a maximum of</w:t>
      </w:r>
      <w:r w:rsidRPr="0023702B">
        <w:rPr>
          <w:rFonts w:cs="Arial"/>
          <w:color w:val="auto"/>
        </w:rPr>
        <w:t xml:space="preserve"> 30% of the </w:t>
      </w:r>
      <w:r w:rsidR="00F31E5F">
        <w:rPr>
          <w:rFonts w:cs="Arial"/>
          <w:color w:val="auto"/>
        </w:rPr>
        <w:t xml:space="preserve">total </w:t>
      </w:r>
      <w:r w:rsidRPr="0023702B">
        <w:rPr>
          <w:rFonts w:cs="Arial"/>
          <w:color w:val="auto"/>
        </w:rPr>
        <w:t xml:space="preserve">cost.  </w:t>
      </w:r>
      <w:r w:rsidR="00F31E5F">
        <w:rPr>
          <w:rFonts w:cs="Arial"/>
          <w:color w:val="auto"/>
        </w:rPr>
        <w:t>The following table indicates the spend profile that must take place for the use of RRTB receipts the Council has kept since March 2012.</w:t>
      </w:r>
    </w:p>
    <w:p w:rsidR="00BF510B" w:rsidRDefault="00BF510B" w:rsidP="00BF510B">
      <w:pPr>
        <w:numPr>
          <w:ilvl w:val="0"/>
          <w:numId w:val="34"/>
        </w:numPr>
        <w:ind w:left="360"/>
        <w:rPr>
          <w:rFonts w:cs="Arial"/>
          <w:color w:val="auto"/>
        </w:rPr>
      </w:pPr>
      <w:r w:rsidRPr="0023702B">
        <w:rPr>
          <w:rFonts w:cs="Arial"/>
          <w:color w:val="auto"/>
        </w:rPr>
        <w:t>There are a number of criteria that must be complied with in order to be able to use the RRTB receipts to finance expenditure which can be summarised as follows:</w:t>
      </w:r>
    </w:p>
    <w:p w:rsidR="00BF510B" w:rsidRPr="00EC7373" w:rsidRDefault="00BF510B" w:rsidP="00BF510B">
      <w:pPr>
        <w:pStyle w:val="ListParagraph"/>
        <w:numPr>
          <w:ilvl w:val="0"/>
          <w:numId w:val="38"/>
        </w:numPr>
        <w:tabs>
          <w:tab w:val="clear" w:pos="426"/>
        </w:tabs>
        <w:spacing w:after="0" w:line="276" w:lineRule="auto"/>
        <w:contextualSpacing/>
        <w:rPr>
          <w:rFonts w:cs="Arial"/>
          <w:color w:val="auto"/>
        </w:rPr>
      </w:pPr>
      <w:r w:rsidRPr="00EC7373">
        <w:rPr>
          <w:rFonts w:cs="Arial"/>
          <w:color w:val="auto"/>
        </w:rPr>
        <w:t xml:space="preserve">They must be used </w:t>
      </w:r>
      <w:r>
        <w:rPr>
          <w:rFonts w:cs="Arial"/>
          <w:color w:val="auto"/>
        </w:rPr>
        <w:t xml:space="preserve">ultimately </w:t>
      </w:r>
      <w:r w:rsidRPr="00EC7373">
        <w:rPr>
          <w:rFonts w:cs="Arial"/>
          <w:color w:val="auto"/>
        </w:rPr>
        <w:t xml:space="preserve">for the provision of </w:t>
      </w:r>
      <w:r>
        <w:rPr>
          <w:rFonts w:cs="Arial"/>
          <w:color w:val="auto"/>
        </w:rPr>
        <w:t xml:space="preserve">new </w:t>
      </w:r>
      <w:r w:rsidRPr="00EC7373">
        <w:rPr>
          <w:rFonts w:cs="Arial"/>
          <w:color w:val="auto"/>
        </w:rPr>
        <w:t>social housing</w:t>
      </w:r>
    </w:p>
    <w:p w:rsidR="00BF510B" w:rsidRPr="00EC7373" w:rsidRDefault="00BF510B" w:rsidP="00BF510B">
      <w:pPr>
        <w:pStyle w:val="ListParagraph"/>
        <w:numPr>
          <w:ilvl w:val="0"/>
          <w:numId w:val="38"/>
        </w:numPr>
        <w:tabs>
          <w:tab w:val="clear" w:pos="426"/>
        </w:tabs>
        <w:spacing w:after="0" w:line="276" w:lineRule="auto"/>
        <w:contextualSpacing/>
        <w:rPr>
          <w:rFonts w:cs="Arial"/>
          <w:color w:val="auto"/>
        </w:rPr>
      </w:pPr>
      <w:r w:rsidRPr="00EC7373">
        <w:rPr>
          <w:rFonts w:cs="Arial"/>
          <w:color w:val="auto"/>
        </w:rPr>
        <w:t>The Council must not have a controlling interest in the body provided with finance</w:t>
      </w:r>
    </w:p>
    <w:p w:rsidR="00BF510B" w:rsidRPr="00EC7373" w:rsidRDefault="00BF510B" w:rsidP="00BF510B">
      <w:pPr>
        <w:pStyle w:val="ListParagraph"/>
        <w:numPr>
          <w:ilvl w:val="0"/>
          <w:numId w:val="38"/>
        </w:numPr>
        <w:tabs>
          <w:tab w:val="clear" w:pos="426"/>
        </w:tabs>
        <w:spacing w:after="0" w:line="276" w:lineRule="auto"/>
        <w:contextualSpacing/>
        <w:rPr>
          <w:rFonts w:cs="Arial"/>
          <w:color w:val="auto"/>
        </w:rPr>
      </w:pPr>
      <w:r w:rsidRPr="00EC7373">
        <w:rPr>
          <w:rFonts w:cs="Arial"/>
          <w:color w:val="auto"/>
        </w:rPr>
        <w:t>The social housing must be for the direct benefit of the authority and its area or the authority must have nomination rights</w:t>
      </w:r>
    </w:p>
    <w:p w:rsidR="00BF510B" w:rsidRDefault="00BF510B" w:rsidP="00BF510B">
      <w:pPr>
        <w:pStyle w:val="ListParagraph"/>
        <w:numPr>
          <w:ilvl w:val="0"/>
          <w:numId w:val="38"/>
        </w:numPr>
        <w:tabs>
          <w:tab w:val="clear" w:pos="426"/>
        </w:tabs>
        <w:spacing w:after="0" w:line="276" w:lineRule="auto"/>
        <w:contextualSpacing/>
        <w:rPr>
          <w:rFonts w:cs="Arial"/>
          <w:color w:val="auto"/>
        </w:rPr>
      </w:pPr>
      <w:r w:rsidRPr="00EC7373">
        <w:rPr>
          <w:rFonts w:cs="Arial"/>
          <w:color w:val="auto"/>
        </w:rPr>
        <w:t>The receipt used must only form 30% of the overall expenditure</w:t>
      </w:r>
    </w:p>
    <w:p w:rsidR="00BF510B" w:rsidRDefault="00BF510B" w:rsidP="00BF510B">
      <w:pPr>
        <w:pStyle w:val="ListParagraph"/>
        <w:numPr>
          <w:ilvl w:val="0"/>
          <w:numId w:val="0"/>
        </w:numPr>
        <w:tabs>
          <w:tab w:val="clear" w:pos="426"/>
        </w:tabs>
        <w:spacing w:after="0" w:line="276" w:lineRule="auto"/>
        <w:ind w:left="720"/>
        <w:contextualSpacing/>
        <w:rPr>
          <w:rFonts w:cs="Arial"/>
          <w:color w:val="auto"/>
        </w:rPr>
      </w:pPr>
    </w:p>
    <w:p w:rsidR="00BF510B" w:rsidRDefault="00BF510B" w:rsidP="00BF510B">
      <w:pPr>
        <w:numPr>
          <w:ilvl w:val="0"/>
          <w:numId w:val="34"/>
        </w:numPr>
        <w:ind w:left="360"/>
        <w:rPr>
          <w:rFonts w:cs="Arial"/>
          <w:color w:val="auto"/>
        </w:rPr>
      </w:pPr>
      <w:r w:rsidRPr="0023702B">
        <w:rPr>
          <w:rFonts w:cs="Arial"/>
          <w:color w:val="auto"/>
        </w:rPr>
        <w:t>For the purpose of the agreement, new social housing includes the following costs:</w:t>
      </w:r>
    </w:p>
    <w:p w:rsidR="00BF510B" w:rsidRPr="00EC7373" w:rsidRDefault="00BF510B" w:rsidP="00BF510B">
      <w:pPr>
        <w:pStyle w:val="ListParagraph"/>
        <w:numPr>
          <w:ilvl w:val="0"/>
          <w:numId w:val="39"/>
        </w:numPr>
        <w:tabs>
          <w:tab w:val="clear" w:pos="426"/>
        </w:tabs>
        <w:spacing w:after="0" w:line="276" w:lineRule="auto"/>
        <w:contextualSpacing/>
        <w:rPr>
          <w:rFonts w:cs="Arial"/>
          <w:color w:val="auto"/>
        </w:rPr>
      </w:pPr>
      <w:r w:rsidRPr="00EC7373">
        <w:rPr>
          <w:rFonts w:cs="Arial"/>
          <w:color w:val="auto"/>
        </w:rPr>
        <w:t>Acquisition of dwellings to be used as social housing</w:t>
      </w:r>
    </w:p>
    <w:p w:rsidR="00BF510B" w:rsidRPr="00EC7373" w:rsidRDefault="00BF510B" w:rsidP="00BF510B">
      <w:pPr>
        <w:pStyle w:val="ListParagraph"/>
        <w:numPr>
          <w:ilvl w:val="0"/>
          <w:numId w:val="39"/>
        </w:numPr>
        <w:tabs>
          <w:tab w:val="clear" w:pos="426"/>
        </w:tabs>
        <w:spacing w:after="0" w:line="276" w:lineRule="auto"/>
        <w:contextualSpacing/>
        <w:rPr>
          <w:rFonts w:cs="Arial"/>
          <w:color w:val="auto"/>
        </w:rPr>
      </w:pPr>
      <w:r w:rsidRPr="00EC7373">
        <w:rPr>
          <w:rFonts w:cs="Arial"/>
          <w:color w:val="auto"/>
        </w:rPr>
        <w:t>Stamp Duty Land Tax (SDLT)</w:t>
      </w:r>
    </w:p>
    <w:p w:rsidR="00D34C6E" w:rsidRDefault="00BF510B" w:rsidP="00D34C6E">
      <w:pPr>
        <w:pStyle w:val="ListParagraph"/>
        <w:numPr>
          <w:ilvl w:val="0"/>
          <w:numId w:val="39"/>
        </w:numPr>
        <w:tabs>
          <w:tab w:val="clear" w:pos="426"/>
        </w:tabs>
        <w:spacing w:after="0" w:line="276" w:lineRule="auto"/>
        <w:contextualSpacing/>
        <w:rPr>
          <w:rFonts w:cs="Arial"/>
          <w:color w:val="auto"/>
        </w:rPr>
      </w:pPr>
      <w:r w:rsidRPr="00EC7373">
        <w:rPr>
          <w:rFonts w:cs="Arial"/>
          <w:color w:val="auto"/>
        </w:rPr>
        <w:t>Acquisition of land to be used for construction of social housing</w:t>
      </w:r>
    </w:p>
    <w:p w:rsidR="00D34C6E" w:rsidRDefault="00BF510B" w:rsidP="00D34C6E">
      <w:pPr>
        <w:pStyle w:val="ListParagraph"/>
        <w:numPr>
          <w:ilvl w:val="0"/>
          <w:numId w:val="39"/>
        </w:numPr>
        <w:tabs>
          <w:tab w:val="clear" w:pos="426"/>
        </w:tabs>
        <w:spacing w:after="0" w:line="276" w:lineRule="auto"/>
        <w:contextualSpacing/>
        <w:rPr>
          <w:rFonts w:cs="Arial"/>
          <w:color w:val="auto"/>
        </w:rPr>
      </w:pPr>
      <w:r w:rsidRPr="00D34C6E">
        <w:rPr>
          <w:rFonts w:cs="Arial"/>
          <w:color w:val="auto"/>
        </w:rPr>
        <w:t>Construction of social housing</w:t>
      </w:r>
      <w:r w:rsidR="00D34C6E" w:rsidRPr="00D34C6E">
        <w:rPr>
          <w:rFonts w:cs="Arial"/>
          <w:color w:val="auto"/>
        </w:rPr>
        <w:t xml:space="preserve"> </w:t>
      </w:r>
    </w:p>
    <w:p w:rsidR="00D34C6E" w:rsidRPr="00D34C6E" w:rsidRDefault="00D34C6E" w:rsidP="00D34C6E">
      <w:pPr>
        <w:pStyle w:val="ListParagraph"/>
        <w:numPr>
          <w:ilvl w:val="0"/>
          <w:numId w:val="0"/>
        </w:numPr>
        <w:tabs>
          <w:tab w:val="clear" w:pos="426"/>
        </w:tabs>
        <w:spacing w:after="0" w:line="276" w:lineRule="auto"/>
        <w:ind w:left="720"/>
        <w:contextualSpacing/>
        <w:rPr>
          <w:rFonts w:cs="Arial"/>
          <w:color w:val="auto"/>
        </w:rPr>
      </w:pPr>
    </w:p>
    <w:p w:rsidR="00BF510B" w:rsidRPr="00D34C6E" w:rsidRDefault="00D34C6E" w:rsidP="00D34C6E">
      <w:pPr>
        <w:numPr>
          <w:ilvl w:val="0"/>
          <w:numId w:val="34"/>
        </w:numPr>
        <w:ind w:left="360"/>
        <w:rPr>
          <w:rFonts w:cs="Arial"/>
          <w:color w:val="auto"/>
        </w:rPr>
      </w:pPr>
      <w:r>
        <w:rPr>
          <w:rFonts w:cs="Arial"/>
          <w:color w:val="auto"/>
        </w:rPr>
        <w:t>The table below indicates that the Council must complete £5.115m of gross qualifying expenditure during 2017/18 and £8.099m in 2018/19, that could be part funded from RRTB capital receipts of £1.</w:t>
      </w:r>
      <w:r w:rsidR="00AD17E8">
        <w:rPr>
          <w:rFonts w:cs="Arial"/>
          <w:color w:val="auto"/>
        </w:rPr>
        <w:t>524m and £2.430m respectively.</w:t>
      </w:r>
    </w:p>
    <w:p w:rsidR="00DF596E" w:rsidRDefault="00DF596E" w:rsidP="00DF596E">
      <w:pPr>
        <w:pStyle w:val="ListParagraph"/>
        <w:numPr>
          <w:ilvl w:val="0"/>
          <w:numId w:val="0"/>
        </w:numPr>
        <w:tabs>
          <w:tab w:val="clear" w:pos="426"/>
        </w:tabs>
        <w:spacing w:after="0" w:line="276" w:lineRule="auto"/>
        <w:ind w:left="720"/>
        <w:contextualSpacing/>
        <w:rPr>
          <w:rFonts w:cs="Arial"/>
          <w:color w:val="auto"/>
        </w:rPr>
      </w:pPr>
    </w:p>
    <w:p w:rsidR="001416AA" w:rsidRPr="00DF596E" w:rsidRDefault="001416AA" w:rsidP="00DF596E">
      <w:pPr>
        <w:ind w:left="360"/>
        <w:rPr>
          <w:rFonts w:cs="Arial"/>
          <w:b/>
          <w:color w:val="auto"/>
        </w:rPr>
      </w:pPr>
      <w:r w:rsidRPr="00DF596E">
        <w:rPr>
          <w:rFonts w:cs="Arial"/>
          <w:b/>
          <w:color w:val="auto"/>
        </w:rPr>
        <w:t>T</w:t>
      </w:r>
      <w:r w:rsidR="00A55D90" w:rsidRPr="00DF596E">
        <w:rPr>
          <w:rFonts w:cs="Arial"/>
          <w:b/>
          <w:color w:val="auto"/>
        </w:rPr>
        <w:t xml:space="preserve">ABLE </w:t>
      </w:r>
      <w:r w:rsidR="00FC17DF">
        <w:rPr>
          <w:rFonts w:cs="Arial"/>
          <w:b/>
          <w:color w:val="auto"/>
        </w:rPr>
        <w:t xml:space="preserve">2: </w:t>
      </w:r>
      <w:r w:rsidR="00A55D90" w:rsidRPr="00DF596E">
        <w:rPr>
          <w:rFonts w:cs="Arial"/>
          <w:b/>
          <w:color w:val="auto"/>
        </w:rPr>
        <w:t xml:space="preserve"> Retained Right to Buy Receipts</w:t>
      </w:r>
    </w:p>
    <w:p w:rsidR="009250B0" w:rsidRDefault="00BF510B" w:rsidP="00DF596E">
      <w:pPr>
        <w:ind w:left="360"/>
        <w:rPr>
          <w:rFonts w:cs="Arial"/>
          <w:color w:val="auto"/>
        </w:rPr>
      </w:pPr>
      <w:r>
        <w:rPr>
          <w:noProof/>
        </w:rPr>
        <w:drawing>
          <wp:inline distT="0" distB="0" distL="0" distR="0" wp14:anchorId="0C860444" wp14:editId="0C5E696A">
            <wp:extent cx="5641075" cy="3901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0051" cy="3900732"/>
                    </a:xfrm>
                    <a:prstGeom prst="rect">
                      <a:avLst/>
                    </a:prstGeom>
                    <a:noFill/>
                    <a:ln>
                      <a:noFill/>
                    </a:ln>
                  </pic:spPr>
                </pic:pic>
              </a:graphicData>
            </a:graphic>
          </wp:inline>
        </w:drawing>
      </w:r>
    </w:p>
    <w:p w:rsidR="0023702B" w:rsidRPr="00D34C6E" w:rsidRDefault="003D66D3" w:rsidP="0023702B">
      <w:pPr>
        <w:numPr>
          <w:ilvl w:val="0"/>
          <w:numId w:val="34"/>
        </w:numPr>
        <w:ind w:left="360"/>
        <w:rPr>
          <w:rFonts w:cs="Arial"/>
          <w:color w:val="auto"/>
        </w:rPr>
      </w:pPr>
      <w:r w:rsidRPr="00D34C6E">
        <w:rPr>
          <w:rFonts w:cs="Arial"/>
          <w:color w:val="auto"/>
        </w:rPr>
        <w:lastRenderedPageBreak/>
        <w:t>T</w:t>
      </w:r>
      <w:r w:rsidR="00981389" w:rsidRPr="00D34C6E">
        <w:rPr>
          <w:rFonts w:cs="Arial"/>
          <w:color w:val="auto"/>
        </w:rPr>
        <w:t xml:space="preserve">he </w:t>
      </w:r>
      <w:r w:rsidR="00D34C6E" w:rsidRPr="00D34C6E">
        <w:rPr>
          <w:rFonts w:cs="Arial"/>
          <w:color w:val="auto"/>
        </w:rPr>
        <w:t xml:space="preserve">activity in 2016/17 relates to the Real Lettings scheme.  </w:t>
      </w:r>
      <w:r w:rsidR="00D34C6E">
        <w:rPr>
          <w:rFonts w:cs="Arial"/>
          <w:color w:val="auto"/>
        </w:rPr>
        <w:t xml:space="preserve">The </w:t>
      </w:r>
      <w:r w:rsidR="00981389" w:rsidRPr="00D34C6E">
        <w:rPr>
          <w:rFonts w:cs="Arial"/>
          <w:color w:val="auto"/>
        </w:rPr>
        <w:t xml:space="preserve">Council </w:t>
      </w:r>
      <w:r w:rsidR="00BF510B" w:rsidRPr="00D34C6E">
        <w:rPr>
          <w:rFonts w:cs="Arial"/>
          <w:color w:val="auto"/>
        </w:rPr>
        <w:t>is in the process of</w:t>
      </w:r>
      <w:r w:rsidR="00981389" w:rsidRPr="00D34C6E">
        <w:rPr>
          <w:rFonts w:cs="Arial"/>
          <w:color w:val="auto"/>
        </w:rPr>
        <w:t xml:space="preserve"> </w:t>
      </w:r>
      <w:r w:rsidRPr="00D34C6E">
        <w:rPr>
          <w:rFonts w:cs="Arial"/>
          <w:color w:val="auto"/>
        </w:rPr>
        <w:t>spend</w:t>
      </w:r>
      <w:r w:rsidR="00BF510B" w:rsidRPr="00D34C6E">
        <w:rPr>
          <w:rFonts w:cs="Arial"/>
          <w:color w:val="auto"/>
        </w:rPr>
        <w:t>ing</w:t>
      </w:r>
      <w:r w:rsidRPr="00D34C6E">
        <w:rPr>
          <w:rFonts w:cs="Arial"/>
          <w:color w:val="auto"/>
        </w:rPr>
        <w:t xml:space="preserve"> £5 million of its own resources on </w:t>
      </w:r>
      <w:r w:rsidR="006B3252" w:rsidRPr="00D34C6E">
        <w:rPr>
          <w:rFonts w:cs="Arial"/>
          <w:color w:val="auto"/>
        </w:rPr>
        <w:t xml:space="preserve">the </w:t>
      </w:r>
      <w:r w:rsidR="00981389" w:rsidRPr="00D34C6E">
        <w:rPr>
          <w:rFonts w:cs="Arial"/>
          <w:color w:val="auto"/>
        </w:rPr>
        <w:t xml:space="preserve">National Homelessness Property Fund (NHPF), known as Real Lettings, which takes advantage of </w:t>
      </w:r>
      <w:r w:rsidRPr="00D34C6E">
        <w:rPr>
          <w:rFonts w:cs="Arial"/>
          <w:color w:val="auto"/>
        </w:rPr>
        <w:t xml:space="preserve">50% match funding by </w:t>
      </w:r>
      <w:r w:rsidR="00981389" w:rsidRPr="00D34C6E">
        <w:rPr>
          <w:rFonts w:cs="Arial"/>
          <w:color w:val="auto"/>
        </w:rPr>
        <w:t>Big Society to purchase homes for homeless households. This scheme is active and is on track to procure 50 properties by Oct</w:t>
      </w:r>
      <w:r w:rsidR="00246784" w:rsidRPr="00D34C6E">
        <w:rPr>
          <w:rFonts w:cs="Arial"/>
          <w:color w:val="auto"/>
        </w:rPr>
        <w:t xml:space="preserve">ober </w:t>
      </w:r>
      <w:r w:rsidR="00981389" w:rsidRPr="00D34C6E">
        <w:rPr>
          <w:rFonts w:cs="Arial"/>
          <w:color w:val="auto"/>
        </w:rPr>
        <w:t>2017</w:t>
      </w:r>
      <w:r w:rsidR="006B3252" w:rsidRPr="00D34C6E">
        <w:rPr>
          <w:rFonts w:cs="Arial"/>
          <w:color w:val="auto"/>
        </w:rPr>
        <w:t>.</w:t>
      </w:r>
      <w:r w:rsidRPr="00D34C6E">
        <w:rPr>
          <w:rFonts w:cs="Arial"/>
          <w:color w:val="auto"/>
        </w:rPr>
        <w:t xml:space="preserve"> Spending £10</w:t>
      </w:r>
      <w:r w:rsidR="00D34C6E">
        <w:rPr>
          <w:rFonts w:cs="Arial"/>
          <w:color w:val="auto"/>
        </w:rPr>
        <w:t xml:space="preserve"> </w:t>
      </w:r>
      <w:r w:rsidRPr="00D34C6E">
        <w:rPr>
          <w:rFonts w:cs="Arial"/>
          <w:color w:val="auto"/>
        </w:rPr>
        <w:t>million in this way will enable the Council to use £3</w:t>
      </w:r>
      <w:r w:rsidR="00CF5B11">
        <w:rPr>
          <w:rFonts w:cs="Arial"/>
          <w:color w:val="auto"/>
        </w:rPr>
        <w:t xml:space="preserve"> </w:t>
      </w:r>
      <w:r w:rsidRPr="00D34C6E">
        <w:rPr>
          <w:rFonts w:cs="Arial"/>
          <w:color w:val="auto"/>
        </w:rPr>
        <w:t>million of RRTB receipts (30% of £10</w:t>
      </w:r>
      <w:r w:rsidR="000123A9" w:rsidRPr="00D34C6E">
        <w:rPr>
          <w:rFonts w:cs="Arial"/>
          <w:color w:val="auto"/>
        </w:rPr>
        <w:t xml:space="preserve"> </w:t>
      </w:r>
      <w:r w:rsidRPr="00D34C6E">
        <w:rPr>
          <w:rFonts w:cs="Arial"/>
          <w:color w:val="auto"/>
        </w:rPr>
        <w:t>million)</w:t>
      </w:r>
      <w:r w:rsidR="006B3252" w:rsidRPr="00D34C6E">
        <w:rPr>
          <w:rFonts w:cs="Arial"/>
          <w:color w:val="auto"/>
        </w:rPr>
        <w:t>,</w:t>
      </w:r>
      <w:r w:rsidRPr="00D34C6E">
        <w:rPr>
          <w:rFonts w:cs="Arial"/>
          <w:color w:val="auto"/>
        </w:rPr>
        <w:t xml:space="preserve"> sufficient </w:t>
      </w:r>
      <w:r w:rsidR="004A57CC" w:rsidRPr="00D34C6E">
        <w:rPr>
          <w:rFonts w:cs="Arial"/>
          <w:color w:val="auto"/>
        </w:rPr>
        <w:t xml:space="preserve">to satisfy the use of receipts up to </w:t>
      </w:r>
      <w:r w:rsidR="006B3252" w:rsidRPr="00D34C6E">
        <w:rPr>
          <w:rFonts w:cs="Arial"/>
          <w:color w:val="auto"/>
        </w:rPr>
        <w:t>30 September 2017.</w:t>
      </w:r>
      <w:r w:rsidR="00981389" w:rsidRPr="00D34C6E">
        <w:rPr>
          <w:rFonts w:cs="Arial"/>
          <w:color w:val="auto"/>
        </w:rPr>
        <w:t xml:space="preserve"> </w:t>
      </w:r>
    </w:p>
    <w:p w:rsidR="0023702B" w:rsidRDefault="00981389" w:rsidP="0023702B">
      <w:pPr>
        <w:numPr>
          <w:ilvl w:val="0"/>
          <w:numId w:val="34"/>
        </w:numPr>
        <w:ind w:left="360"/>
        <w:rPr>
          <w:rFonts w:cs="Arial"/>
          <w:color w:val="auto"/>
        </w:rPr>
      </w:pPr>
      <w:r w:rsidRPr="0023702B">
        <w:rPr>
          <w:rFonts w:cs="Arial"/>
          <w:color w:val="auto"/>
        </w:rPr>
        <w:t xml:space="preserve">The scale of expenditure required to use the entirety of the RRTB receipts is such that the Real Lettings Property Fund will not be able to meet the full expenditure requirement. Hence </w:t>
      </w:r>
      <w:r w:rsidR="004A57CC">
        <w:rPr>
          <w:rFonts w:cs="Arial"/>
          <w:color w:val="auto"/>
        </w:rPr>
        <w:t xml:space="preserve">if the RRTB receipts are not to be given back to DCLG </w:t>
      </w:r>
      <w:r w:rsidRPr="0023702B">
        <w:rPr>
          <w:rFonts w:cs="Arial"/>
          <w:color w:val="auto"/>
        </w:rPr>
        <w:t xml:space="preserve">it is necessary to manage this risk by having </w:t>
      </w:r>
      <w:r w:rsidR="006B3252">
        <w:rPr>
          <w:rFonts w:cs="Arial"/>
          <w:color w:val="auto"/>
        </w:rPr>
        <w:t xml:space="preserve">additional qualifying schemes in the Council’s capital </w:t>
      </w:r>
      <w:proofErr w:type="gramStart"/>
      <w:r w:rsidR="006B3252">
        <w:rPr>
          <w:rFonts w:cs="Arial"/>
          <w:color w:val="auto"/>
        </w:rPr>
        <w:t>programme.</w:t>
      </w:r>
      <w:proofErr w:type="gramEnd"/>
      <w:r w:rsidR="00DC6880">
        <w:rPr>
          <w:rFonts w:cs="Arial"/>
          <w:color w:val="auto"/>
        </w:rPr>
        <w:t xml:space="preserve"> </w:t>
      </w:r>
    </w:p>
    <w:p w:rsidR="00F746D4" w:rsidRDefault="001416AA" w:rsidP="00F746D4">
      <w:pPr>
        <w:numPr>
          <w:ilvl w:val="0"/>
          <w:numId w:val="34"/>
        </w:numPr>
        <w:ind w:left="360"/>
        <w:rPr>
          <w:rFonts w:cs="Arial"/>
          <w:color w:val="auto"/>
        </w:rPr>
      </w:pPr>
      <w:r>
        <w:rPr>
          <w:rFonts w:cs="Arial"/>
          <w:color w:val="auto"/>
        </w:rPr>
        <w:t>Purchasing £10m of properties for homeless families as described in paragraphs 3-</w:t>
      </w:r>
      <w:r w:rsidR="00080046">
        <w:rPr>
          <w:rFonts w:cs="Arial"/>
          <w:color w:val="auto"/>
        </w:rPr>
        <w:t>9</w:t>
      </w:r>
      <w:r>
        <w:rPr>
          <w:rFonts w:cs="Arial"/>
          <w:color w:val="auto"/>
        </w:rPr>
        <w:t xml:space="preserve"> above can be funded by utilising £3 million of RRTB receipts with the balance from prudential borrowing. Providing the houses are purchased in accordance with the RRTB receipts spend profile shown in table 2 then the Council will avoid having to give the receipts back to the Government and the Council will fulfil its obligation up to </w:t>
      </w:r>
      <w:r w:rsidR="00373D22" w:rsidRPr="00FC17DF">
        <w:rPr>
          <w:rFonts w:cs="Arial"/>
          <w:color w:val="auto"/>
        </w:rPr>
        <w:t>December 2018.</w:t>
      </w:r>
      <w:r>
        <w:rPr>
          <w:rFonts w:cs="Arial"/>
          <w:color w:val="auto"/>
        </w:rPr>
        <w:t xml:space="preserve"> </w:t>
      </w:r>
    </w:p>
    <w:p w:rsidR="00F746D4" w:rsidRPr="00F746D4" w:rsidRDefault="00F746D4" w:rsidP="00F746D4">
      <w:pPr>
        <w:numPr>
          <w:ilvl w:val="0"/>
          <w:numId w:val="34"/>
        </w:numPr>
        <w:ind w:left="360"/>
        <w:rPr>
          <w:rFonts w:cs="Arial"/>
          <w:color w:val="auto"/>
        </w:rPr>
      </w:pPr>
      <w:r>
        <w:t>It should be noted that since the obligation to spend RRTB receipts is measured on a quarterly basis any slippage on the programme of spend on the purchase of homeless properties could put the Council at risk of handing back the receipts with a resultant interest financial penalty.  If the procurement of dwellings for temporary accommodation is not on track in order to meet the targets, then another CEB report will be brought forward to recommend other approaches to purchase property (which complies with the criteria within the RRTB agreement), and these approaches will be used, in line with the total budget allocation, to ensure that the Council does not need to repay any of the receipts.</w:t>
      </w:r>
    </w:p>
    <w:p w:rsidR="0023702B" w:rsidRDefault="0023702B" w:rsidP="0023702B">
      <w:pPr>
        <w:pStyle w:val="Heading1"/>
      </w:pPr>
      <w:r w:rsidRPr="001356F1">
        <w:t>Financial implications</w:t>
      </w:r>
    </w:p>
    <w:p w:rsidR="0023702B" w:rsidRDefault="00D017A8" w:rsidP="0023702B">
      <w:pPr>
        <w:numPr>
          <w:ilvl w:val="0"/>
          <w:numId w:val="34"/>
        </w:numPr>
        <w:ind w:left="360"/>
        <w:rPr>
          <w:rFonts w:cs="Arial"/>
          <w:color w:val="auto"/>
        </w:rPr>
      </w:pPr>
      <w:r>
        <w:rPr>
          <w:rFonts w:cs="Arial"/>
          <w:color w:val="auto"/>
        </w:rPr>
        <w:t xml:space="preserve">The financial </w:t>
      </w:r>
      <w:r w:rsidR="00A55D90">
        <w:rPr>
          <w:rFonts w:cs="Arial"/>
          <w:color w:val="auto"/>
        </w:rPr>
        <w:t>implications are summarised in the main body of the report</w:t>
      </w:r>
      <w:r>
        <w:rPr>
          <w:rFonts w:cs="Arial"/>
          <w:color w:val="auto"/>
        </w:rPr>
        <w:t>.</w:t>
      </w:r>
    </w:p>
    <w:p w:rsidR="0023702B" w:rsidRDefault="0023702B" w:rsidP="0023702B">
      <w:pPr>
        <w:pStyle w:val="Heading1"/>
      </w:pPr>
      <w:r w:rsidRPr="001356F1">
        <w:t>Legal issues</w:t>
      </w:r>
    </w:p>
    <w:p w:rsidR="0023702B" w:rsidRPr="00F746D4" w:rsidRDefault="00DF596E" w:rsidP="0023702B">
      <w:pPr>
        <w:numPr>
          <w:ilvl w:val="0"/>
          <w:numId w:val="34"/>
        </w:numPr>
        <w:ind w:left="360"/>
        <w:rPr>
          <w:rFonts w:cs="Arial"/>
          <w:color w:val="auto"/>
        </w:rPr>
      </w:pPr>
      <w:r>
        <w:rPr>
          <w:rFonts w:cs="Arial"/>
          <w:color w:val="auto"/>
        </w:rPr>
        <w:t xml:space="preserve"> </w:t>
      </w:r>
      <w:r w:rsidR="00FC17DF" w:rsidRPr="00F746D4">
        <w:rPr>
          <w:rFonts w:cs="Arial"/>
          <w:color w:val="auto"/>
        </w:rPr>
        <w:t>It is proposed that the conveyancing for these new property acquisitions is undertaken using existing resource provi</w:t>
      </w:r>
      <w:r w:rsidR="000123A9" w:rsidRPr="00F746D4">
        <w:rPr>
          <w:rFonts w:cs="Arial"/>
          <w:color w:val="auto"/>
        </w:rPr>
        <w:t>sion within the Council</w:t>
      </w:r>
    </w:p>
    <w:p w:rsidR="0023702B" w:rsidRPr="001356F1" w:rsidRDefault="0023702B" w:rsidP="0023702B">
      <w:pPr>
        <w:pStyle w:val="Heading1"/>
      </w:pPr>
      <w:r w:rsidRPr="001356F1">
        <w:t>Level of risk</w:t>
      </w:r>
    </w:p>
    <w:p w:rsidR="0023702B" w:rsidRPr="0023702B" w:rsidRDefault="0093067A" w:rsidP="0023702B">
      <w:pPr>
        <w:numPr>
          <w:ilvl w:val="0"/>
          <w:numId w:val="34"/>
        </w:numPr>
        <w:ind w:left="360"/>
        <w:rPr>
          <w:rFonts w:cs="Arial"/>
          <w:color w:val="auto"/>
        </w:rPr>
      </w:pPr>
      <w:r w:rsidRPr="001356F1">
        <w:t>A</w:t>
      </w:r>
      <w:r w:rsidR="005505A2">
        <w:t xml:space="preserve"> </w:t>
      </w:r>
      <w:r w:rsidR="00151888" w:rsidRPr="001356F1">
        <w:t>R</w:t>
      </w:r>
      <w:r w:rsidR="002329CF" w:rsidRPr="001356F1">
        <w:t xml:space="preserve">isk </w:t>
      </w:r>
      <w:r w:rsidR="00151888" w:rsidRPr="001356F1">
        <w:t>R</w:t>
      </w:r>
      <w:r w:rsidRPr="001356F1">
        <w:t>egister</w:t>
      </w:r>
      <w:r w:rsidR="002329CF" w:rsidRPr="001356F1">
        <w:t xml:space="preserve"> </w:t>
      </w:r>
      <w:r w:rsidR="005505A2">
        <w:t>is provided at A</w:t>
      </w:r>
      <w:r w:rsidR="002329CF" w:rsidRPr="001356F1">
        <w:t>ppendix</w:t>
      </w:r>
      <w:r w:rsidR="005505A2">
        <w:t xml:space="preserve"> </w:t>
      </w:r>
      <w:r w:rsidR="000123A9">
        <w:t>1</w:t>
      </w:r>
      <w:r w:rsidR="002329CF" w:rsidRPr="001356F1">
        <w:t xml:space="preserve">. </w:t>
      </w:r>
    </w:p>
    <w:p w:rsidR="0023702B" w:rsidRPr="001356F1" w:rsidRDefault="0023702B" w:rsidP="0023702B">
      <w:pPr>
        <w:pStyle w:val="Heading1"/>
      </w:pPr>
      <w:r w:rsidRPr="001356F1">
        <w:t xml:space="preserve">Equalities impact </w:t>
      </w:r>
    </w:p>
    <w:p w:rsidR="00F746D4" w:rsidRPr="00AD17E8" w:rsidRDefault="0093067A" w:rsidP="00AD17E8">
      <w:pPr>
        <w:numPr>
          <w:ilvl w:val="0"/>
          <w:numId w:val="34"/>
        </w:numPr>
        <w:ind w:left="360"/>
        <w:rPr>
          <w:rFonts w:cs="Arial"/>
          <w:color w:val="auto"/>
        </w:rPr>
      </w:pPr>
      <w:r w:rsidRPr="001356F1">
        <w:t>A</w:t>
      </w:r>
      <w:r w:rsidR="00981389">
        <w:t>n</w:t>
      </w:r>
      <w:r w:rsidR="005505A2">
        <w:t xml:space="preserve"> </w:t>
      </w:r>
      <w:r w:rsidRPr="001356F1">
        <w:t>Equalities Impact Assessment</w:t>
      </w:r>
      <w:r w:rsidR="002329CF" w:rsidRPr="001356F1">
        <w:t xml:space="preserve"> </w:t>
      </w:r>
      <w:r w:rsidR="005505A2">
        <w:t>is provided at A</w:t>
      </w:r>
      <w:r w:rsidR="002329CF" w:rsidRPr="001356F1">
        <w:t>ppendix</w:t>
      </w:r>
      <w:r w:rsidR="005505A2">
        <w:t xml:space="preserve"> </w:t>
      </w:r>
      <w:r w:rsidR="000123A9">
        <w:t>2</w:t>
      </w:r>
      <w:r w:rsidR="002329CF" w:rsidRPr="001356F1">
        <w:t>.</w:t>
      </w:r>
      <w:r w:rsidRPr="001356F1">
        <w:t xml:space="preserve"> </w:t>
      </w:r>
      <w:r w:rsidR="005505A2">
        <w:t xml:space="preserve">  There are no adverse impacts in undertaking this activity, with the potential to improve provision for vulnerable and marginalised households</w:t>
      </w:r>
    </w:p>
    <w:p w:rsidR="00F746D4" w:rsidRPr="00F746D4" w:rsidRDefault="00F746D4" w:rsidP="00F746D4">
      <w:pPr>
        <w:rPr>
          <w:rFonts w:cs="Arial"/>
          <w:b/>
          <w:color w:val="auto"/>
        </w:rPr>
      </w:pPr>
      <w:r w:rsidRPr="00F746D4">
        <w:rPr>
          <w:b/>
        </w:rPr>
        <w:t>Conclusion</w:t>
      </w:r>
    </w:p>
    <w:p w:rsidR="00981389" w:rsidRPr="0023702B" w:rsidRDefault="00981389" w:rsidP="0023702B">
      <w:pPr>
        <w:numPr>
          <w:ilvl w:val="0"/>
          <w:numId w:val="34"/>
        </w:numPr>
        <w:ind w:left="360"/>
        <w:rPr>
          <w:rFonts w:cs="Arial"/>
          <w:color w:val="auto"/>
        </w:rPr>
      </w:pPr>
      <w:r w:rsidRPr="0023702B">
        <w:rPr>
          <w:color w:val="auto"/>
        </w:rPr>
        <w:t xml:space="preserve">That </w:t>
      </w:r>
      <w:r w:rsidR="00C0607F">
        <w:rPr>
          <w:color w:val="auto"/>
        </w:rPr>
        <w:t xml:space="preserve">a capital scheme of initially </w:t>
      </w:r>
      <w:r w:rsidRPr="0023702B">
        <w:rPr>
          <w:color w:val="auto"/>
        </w:rPr>
        <w:t>£1</w:t>
      </w:r>
      <w:r w:rsidR="00B527D7">
        <w:rPr>
          <w:color w:val="auto"/>
        </w:rPr>
        <w:t>0</w:t>
      </w:r>
      <w:r w:rsidRPr="0023702B">
        <w:rPr>
          <w:color w:val="auto"/>
        </w:rPr>
        <w:t xml:space="preserve">m </w:t>
      </w:r>
      <w:r w:rsidR="00C0607F">
        <w:rPr>
          <w:color w:val="auto"/>
        </w:rPr>
        <w:t>is considered as part of the 2017/18 budget proposals.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6457F" w:rsidP="0066457F">
            <w:r>
              <w:t>Dave Scholes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6457F" w:rsidP="00A46E98">
            <w:r>
              <w:t>Housing Strategy and Needs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6457F" w:rsidP="0066457F">
            <w:r>
              <w:t>Housing and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6457F">
            <w:r w:rsidRPr="001356F1">
              <w:t xml:space="preserve">01865 </w:t>
            </w:r>
            <w:r w:rsidR="0066457F">
              <w:t>252636</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6457F" w:rsidP="00A46E98">
            <w:pPr>
              <w:rPr>
                <w:rStyle w:val="Hyperlink"/>
                <w:color w:val="000000"/>
              </w:rPr>
            </w:pPr>
            <w:r>
              <w:rPr>
                <w:rStyle w:val="Hyperlink"/>
                <w:color w:val="000000"/>
              </w:rPr>
              <w:t>dscholes@oxford.gov.uk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0066457F">
              <w:rPr>
                <w:rStyle w:val="Firstpagetablebold"/>
              </w:rPr>
              <w:t xml:space="preserve">                       </w:t>
            </w:r>
            <w:r w:rsidRPr="001356F1">
              <w:rPr>
                <w:rStyle w:val="Firstpagetablebold"/>
                <w:b w:val="0"/>
              </w:rPr>
              <w:t>None</w:t>
            </w:r>
          </w:p>
        </w:tc>
      </w:tr>
    </w:tbl>
    <w:p w:rsidR="00CE4C87" w:rsidRPr="00B527D7" w:rsidRDefault="00CE4C87" w:rsidP="0093067A">
      <w:pPr>
        <w:rPr>
          <w:sz w:val="16"/>
          <w:szCs w:val="16"/>
        </w:rPr>
      </w:pPr>
      <w:bookmarkStart w:id="0" w:name="_GoBack"/>
      <w:bookmarkEnd w:id="0"/>
    </w:p>
    <w:sectPr w:rsidR="00CE4C87" w:rsidRPr="00B527D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28" w:rsidRDefault="00AB1228" w:rsidP="004A6D2F">
      <w:r>
        <w:separator/>
      </w:r>
    </w:p>
  </w:endnote>
  <w:endnote w:type="continuationSeparator" w:id="0">
    <w:p w:rsidR="00AB1228" w:rsidRDefault="00AB122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99" w:rsidRDefault="005A1D99" w:rsidP="004A6D2F">
    <w:pPr>
      <w:pStyle w:val="Footer"/>
    </w:pPr>
    <w:r>
      <w:t>Do not use a footer or page numbers.</w:t>
    </w:r>
  </w:p>
  <w:p w:rsidR="005A1D99" w:rsidRDefault="005A1D99" w:rsidP="004A6D2F">
    <w:pPr>
      <w:pStyle w:val="Footer"/>
    </w:pPr>
  </w:p>
  <w:p w:rsidR="005A1D99" w:rsidRDefault="005A1D9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99" w:rsidRDefault="005A1D9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28" w:rsidRDefault="00AB1228" w:rsidP="004A6D2F">
      <w:r>
        <w:separator/>
      </w:r>
    </w:p>
  </w:footnote>
  <w:footnote w:type="continuationSeparator" w:id="0">
    <w:p w:rsidR="00AB1228" w:rsidRDefault="00AB122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99" w:rsidRDefault="00BF510B" w:rsidP="00D5547E">
    <w:pPr>
      <w:pStyle w:val="Header"/>
      <w:jc w:val="right"/>
    </w:pPr>
    <w:r>
      <w:rPr>
        <w:noProof/>
      </w:rPr>
      <w:drawing>
        <wp:inline distT="0" distB="0" distL="0" distR="0" wp14:anchorId="5621B6EB" wp14:editId="66733B59">
          <wp:extent cx="838200" cy="1120140"/>
          <wp:effectExtent l="0" t="0" r="0" b="3810"/>
          <wp:docPr id="3"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16404D"/>
    <w:multiLevelType w:val="hybridMultilevel"/>
    <w:tmpl w:val="B7942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256D7A"/>
    <w:multiLevelType w:val="hybridMultilevel"/>
    <w:tmpl w:val="500426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BE15A8D"/>
    <w:multiLevelType w:val="hybridMultilevel"/>
    <w:tmpl w:val="57B8A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1B3695"/>
    <w:multiLevelType w:val="hybridMultilevel"/>
    <w:tmpl w:val="7388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D56918"/>
    <w:multiLevelType w:val="hybridMultilevel"/>
    <w:tmpl w:val="FD9623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9A0B34"/>
    <w:multiLevelType w:val="hybridMultilevel"/>
    <w:tmpl w:val="0DA4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48C240E"/>
    <w:multiLevelType w:val="hybridMultilevel"/>
    <w:tmpl w:val="5AB6588E"/>
    <w:lvl w:ilvl="0" w:tplc="8D3C99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50356D5"/>
    <w:multiLevelType w:val="hybridMultilevel"/>
    <w:tmpl w:val="E0162B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8365C6"/>
    <w:multiLevelType w:val="multilevel"/>
    <w:tmpl w:val="E67CE66C"/>
    <w:numStyleLink w:val="StyleNumberedLeft0cmHanging075cm"/>
  </w:abstractNum>
  <w:num w:numId="1">
    <w:abstractNumId w:val="30"/>
  </w:num>
  <w:num w:numId="2">
    <w:abstractNumId w:val="37"/>
  </w:num>
  <w:num w:numId="3">
    <w:abstractNumId w:val="26"/>
  </w:num>
  <w:num w:numId="4">
    <w:abstractNumId w:val="21"/>
  </w:num>
  <w:num w:numId="5">
    <w:abstractNumId w:val="32"/>
  </w:num>
  <w:num w:numId="6">
    <w:abstractNumId w:val="38"/>
  </w:num>
  <w:num w:numId="7">
    <w:abstractNumId w:val="25"/>
  </w:num>
  <w:num w:numId="8">
    <w:abstractNumId w:val="23"/>
  </w:num>
  <w:num w:numId="9">
    <w:abstractNumId w:val="14"/>
  </w:num>
  <w:num w:numId="10">
    <w:abstractNumId w:val="18"/>
  </w:num>
  <w:num w:numId="11">
    <w:abstractNumId w:val="28"/>
  </w:num>
  <w:num w:numId="12">
    <w:abstractNumId w:val="27"/>
  </w:num>
  <w:num w:numId="13">
    <w:abstractNumId w:val="11"/>
  </w:num>
  <w:num w:numId="14">
    <w:abstractNumId w:val="40"/>
  </w:num>
  <w:num w:numId="15">
    <w:abstractNumId w:val="19"/>
  </w:num>
  <w:num w:numId="16">
    <w:abstractNumId w:val="12"/>
  </w:num>
  <w:num w:numId="17">
    <w:abstractNumId w:val="31"/>
  </w:num>
  <w:num w:numId="18">
    <w:abstractNumId w:val="13"/>
  </w:num>
  <w:num w:numId="19">
    <w:abstractNumId w:val="34"/>
  </w:num>
  <w:num w:numId="20">
    <w:abstractNumId w:val="20"/>
  </w:num>
  <w:num w:numId="21">
    <w:abstractNumId w:val="24"/>
  </w:num>
  <w:num w:numId="22">
    <w:abstractNumId w:val="16"/>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5"/>
  </w:num>
  <w:num w:numId="36">
    <w:abstractNumId w:val="33"/>
  </w:num>
  <w:num w:numId="37">
    <w:abstractNumId w:val="22"/>
  </w:num>
  <w:num w:numId="38">
    <w:abstractNumId w:val="39"/>
  </w:num>
  <w:num w:numId="39">
    <w:abstractNumId w:val="29"/>
  </w:num>
  <w:num w:numId="40">
    <w:abstractNumId w:val="10"/>
  </w:num>
  <w:num w:numId="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65"/>
    <w:rsid w:val="000117D4"/>
    <w:rsid w:val="000123A9"/>
    <w:rsid w:val="0002509D"/>
    <w:rsid w:val="00026CC6"/>
    <w:rsid w:val="000314D7"/>
    <w:rsid w:val="00045F8B"/>
    <w:rsid w:val="00046D2B"/>
    <w:rsid w:val="00050D37"/>
    <w:rsid w:val="00056263"/>
    <w:rsid w:val="00064D8A"/>
    <w:rsid w:val="00064F82"/>
    <w:rsid w:val="00066510"/>
    <w:rsid w:val="00070E34"/>
    <w:rsid w:val="00077523"/>
    <w:rsid w:val="00080046"/>
    <w:rsid w:val="000C089F"/>
    <w:rsid w:val="000C3928"/>
    <w:rsid w:val="000C5E8E"/>
    <w:rsid w:val="000F4751"/>
    <w:rsid w:val="0010524C"/>
    <w:rsid w:val="00111FB1"/>
    <w:rsid w:val="00113418"/>
    <w:rsid w:val="001356F1"/>
    <w:rsid w:val="00136994"/>
    <w:rsid w:val="00137E79"/>
    <w:rsid w:val="0014128E"/>
    <w:rsid w:val="001416AA"/>
    <w:rsid w:val="00151888"/>
    <w:rsid w:val="00161DC1"/>
    <w:rsid w:val="00170A2D"/>
    <w:rsid w:val="001808BC"/>
    <w:rsid w:val="00182B81"/>
    <w:rsid w:val="0018619D"/>
    <w:rsid w:val="00187D0F"/>
    <w:rsid w:val="00187F4D"/>
    <w:rsid w:val="001A011E"/>
    <w:rsid w:val="001A066A"/>
    <w:rsid w:val="001A13E6"/>
    <w:rsid w:val="001A5731"/>
    <w:rsid w:val="001B42C3"/>
    <w:rsid w:val="001C5D5E"/>
    <w:rsid w:val="001D678D"/>
    <w:rsid w:val="001E03F8"/>
    <w:rsid w:val="001E1678"/>
    <w:rsid w:val="001E3376"/>
    <w:rsid w:val="001F79B4"/>
    <w:rsid w:val="00203E4A"/>
    <w:rsid w:val="002069B3"/>
    <w:rsid w:val="002329CF"/>
    <w:rsid w:val="00232F5B"/>
    <w:rsid w:val="0023702B"/>
    <w:rsid w:val="00245AAF"/>
    <w:rsid w:val="00246784"/>
    <w:rsid w:val="00247C29"/>
    <w:rsid w:val="00260467"/>
    <w:rsid w:val="00263EA3"/>
    <w:rsid w:val="00284F85"/>
    <w:rsid w:val="00285E69"/>
    <w:rsid w:val="00290915"/>
    <w:rsid w:val="002934D1"/>
    <w:rsid w:val="002A22E2"/>
    <w:rsid w:val="002B1526"/>
    <w:rsid w:val="002C43B8"/>
    <w:rsid w:val="002C64F7"/>
    <w:rsid w:val="002F41F2"/>
    <w:rsid w:val="00301BF3"/>
    <w:rsid w:val="0030208D"/>
    <w:rsid w:val="00323418"/>
    <w:rsid w:val="003357BF"/>
    <w:rsid w:val="00362814"/>
    <w:rsid w:val="00364FAD"/>
    <w:rsid w:val="003665A3"/>
    <w:rsid w:val="0036738F"/>
    <w:rsid w:val="0036759C"/>
    <w:rsid w:val="00367AE5"/>
    <w:rsid w:val="00367D71"/>
    <w:rsid w:val="00373D22"/>
    <w:rsid w:val="0038150A"/>
    <w:rsid w:val="003841AC"/>
    <w:rsid w:val="003B6E75"/>
    <w:rsid w:val="003B7DA1"/>
    <w:rsid w:val="003C1204"/>
    <w:rsid w:val="003D0379"/>
    <w:rsid w:val="003D2574"/>
    <w:rsid w:val="003D4C59"/>
    <w:rsid w:val="003D66D3"/>
    <w:rsid w:val="003F4267"/>
    <w:rsid w:val="0040281F"/>
    <w:rsid w:val="00403202"/>
    <w:rsid w:val="00403321"/>
    <w:rsid w:val="00404032"/>
    <w:rsid w:val="0040736F"/>
    <w:rsid w:val="00412C1F"/>
    <w:rsid w:val="00421CB2"/>
    <w:rsid w:val="00422FD4"/>
    <w:rsid w:val="00424B24"/>
    <w:rsid w:val="004268B9"/>
    <w:rsid w:val="00432EC0"/>
    <w:rsid w:val="00433B96"/>
    <w:rsid w:val="004360A6"/>
    <w:rsid w:val="004440F1"/>
    <w:rsid w:val="004456DD"/>
    <w:rsid w:val="00446CDF"/>
    <w:rsid w:val="004521B7"/>
    <w:rsid w:val="00462AB5"/>
    <w:rsid w:val="00465EAF"/>
    <w:rsid w:val="0046656D"/>
    <w:rsid w:val="004738C5"/>
    <w:rsid w:val="00486111"/>
    <w:rsid w:val="00491046"/>
    <w:rsid w:val="004A2AC7"/>
    <w:rsid w:val="004A57CC"/>
    <w:rsid w:val="004A6D2F"/>
    <w:rsid w:val="004C2887"/>
    <w:rsid w:val="004C29C8"/>
    <w:rsid w:val="004D2626"/>
    <w:rsid w:val="004D6E26"/>
    <w:rsid w:val="004D77D3"/>
    <w:rsid w:val="004D7ACA"/>
    <w:rsid w:val="004D7F63"/>
    <w:rsid w:val="004E2959"/>
    <w:rsid w:val="004F0ABE"/>
    <w:rsid w:val="004F20EF"/>
    <w:rsid w:val="004F61BE"/>
    <w:rsid w:val="0050321C"/>
    <w:rsid w:val="00512DFB"/>
    <w:rsid w:val="00513FD3"/>
    <w:rsid w:val="00517157"/>
    <w:rsid w:val="0054712D"/>
    <w:rsid w:val="00547EF6"/>
    <w:rsid w:val="005505A2"/>
    <w:rsid w:val="005570B5"/>
    <w:rsid w:val="00567E18"/>
    <w:rsid w:val="00575F5F"/>
    <w:rsid w:val="00581805"/>
    <w:rsid w:val="00585F76"/>
    <w:rsid w:val="00590BFE"/>
    <w:rsid w:val="005A1D99"/>
    <w:rsid w:val="005A34E4"/>
    <w:rsid w:val="005B17F2"/>
    <w:rsid w:val="005B2A17"/>
    <w:rsid w:val="005B7FB0"/>
    <w:rsid w:val="005C35A5"/>
    <w:rsid w:val="005C577C"/>
    <w:rsid w:val="005D0621"/>
    <w:rsid w:val="005D1E27"/>
    <w:rsid w:val="005D2A3E"/>
    <w:rsid w:val="005E022E"/>
    <w:rsid w:val="005E5215"/>
    <w:rsid w:val="005F7F7E"/>
    <w:rsid w:val="00613EF3"/>
    <w:rsid w:val="00614693"/>
    <w:rsid w:val="00623C2F"/>
    <w:rsid w:val="00633578"/>
    <w:rsid w:val="00637068"/>
    <w:rsid w:val="00642369"/>
    <w:rsid w:val="00645657"/>
    <w:rsid w:val="00650811"/>
    <w:rsid w:val="00661D3E"/>
    <w:rsid w:val="0066457F"/>
    <w:rsid w:val="00692627"/>
    <w:rsid w:val="006969E7"/>
    <w:rsid w:val="006A3643"/>
    <w:rsid w:val="006B3252"/>
    <w:rsid w:val="006B7F85"/>
    <w:rsid w:val="006C2746"/>
    <w:rsid w:val="006C2A29"/>
    <w:rsid w:val="006C64CF"/>
    <w:rsid w:val="006D17B1"/>
    <w:rsid w:val="006D4752"/>
    <w:rsid w:val="006D708A"/>
    <w:rsid w:val="006E14C1"/>
    <w:rsid w:val="006F0292"/>
    <w:rsid w:val="006F27FA"/>
    <w:rsid w:val="006F416B"/>
    <w:rsid w:val="006F519B"/>
    <w:rsid w:val="006F6824"/>
    <w:rsid w:val="00713675"/>
    <w:rsid w:val="00715823"/>
    <w:rsid w:val="00724265"/>
    <w:rsid w:val="00737B93"/>
    <w:rsid w:val="00744247"/>
    <w:rsid w:val="00745BF0"/>
    <w:rsid w:val="007615FE"/>
    <w:rsid w:val="0076655C"/>
    <w:rsid w:val="007742DC"/>
    <w:rsid w:val="00786F5F"/>
    <w:rsid w:val="00791437"/>
    <w:rsid w:val="007A448A"/>
    <w:rsid w:val="007B0C2C"/>
    <w:rsid w:val="007B278E"/>
    <w:rsid w:val="007C5C23"/>
    <w:rsid w:val="007E2A26"/>
    <w:rsid w:val="007F2348"/>
    <w:rsid w:val="008004A1"/>
    <w:rsid w:val="00803F07"/>
    <w:rsid w:val="0080749A"/>
    <w:rsid w:val="00821FB8"/>
    <w:rsid w:val="00822ACD"/>
    <w:rsid w:val="00832220"/>
    <w:rsid w:val="0083386F"/>
    <w:rsid w:val="008430EE"/>
    <w:rsid w:val="0084792C"/>
    <w:rsid w:val="00855C66"/>
    <w:rsid w:val="00871EE4"/>
    <w:rsid w:val="008B293F"/>
    <w:rsid w:val="008B7371"/>
    <w:rsid w:val="008D2D13"/>
    <w:rsid w:val="008D3DDB"/>
    <w:rsid w:val="008F0CB6"/>
    <w:rsid w:val="008F573F"/>
    <w:rsid w:val="009034EC"/>
    <w:rsid w:val="00922AB6"/>
    <w:rsid w:val="009250B0"/>
    <w:rsid w:val="0093067A"/>
    <w:rsid w:val="00941C60"/>
    <w:rsid w:val="009459AE"/>
    <w:rsid w:val="00966D42"/>
    <w:rsid w:val="00971689"/>
    <w:rsid w:val="00973E90"/>
    <w:rsid w:val="00975B07"/>
    <w:rsid w:val="00980B4A"/>
    <w:rsid w:val="00981389"/>
    <w:rsid w:val="009A078E"/>
    <w:rsid w:val="009C0FFF"/>
    <w:rsid w:val="009E3D0A"/>
    <w:rsid w:val="009E51FC"/>
    <w:rsid w:val="009F1D28"/>
    <w:rsid w:val="009F7618"/>
    <w:rsid w:val="00A02D73"/>
    <w:rsid w:val="00A04D23"/>
    <w:rsid w:val="00A06766"/>
    <w:rsid w:val="00A12683"/>
    <w:rsid w:val="00A13765"/>
    <w:rsid w:val="00A21B12"/>
    <w:rsid w:val="00A23F80"/>
    <w:rsid w:val="00A46E98"/>
    <w:rsid w:val="00A55D90"/>
    <w:rsid w:val="00A6352B"/>
    <w:rsid w:val="00A701B5"/>
    <w:rsid w:val="00A714BB"/>
    <w:rsid w:val="00A82268"/>
    <w:rsid w:val="00A87C71"/>
    <w:rsid w:val="00A87EB6"/>
    <w:rsid w:val="00A92D8F"/>
    <w:rsid w:val="00AA0146"/>
    <w:rsid w:val="00AB1228"/>
    <w:rsid w:val="00AB2988"/>
    <w:rsid w:val="00AB7999"/>
    <w:rsid w:val="00AC25A7"/>
    <w:rsid w:val="00AD17E8"/>
    <w:rsid w:val="00AD3292"/>
    <w:rsid w:val="00AE7AF0"/>
    <w:rsid w:val="00B40B01"/>
    <w:rsid w:val="00B500CA"/>
    <w:rsid w:val="00B527D7"/>
    <w:rsid w:val="00B67B42"/>
    <w:rsid w:val="00B730D9"/>
    <w:rsid w:val="00B86314"/>
    <w:rsid w:val="00BA1C2E"/>
    <w:rsid w:val="00BA387C"/>
    <w:rsid w:val="00BA543C"/>
    <w:rsid w:val="00BC200B"/>
    <w:rsid w:val="00BC4756"/>
    <w:rsid w:val="00BC69A4"/>
    <w:rsid w:val="00BD7839"/>
    <w:rsid w:val="00BE0680"/>
    <w:rsid w:val="00BE305F"/>
    <w:rsid w:val="00BE7BA3"/>
    <w:rsid w:val="00BF510B"/>
    <w:rsid w:val="00BF5682"/>
    <w:rsid w:val="00BF7B09"/>
    <w:rsid w:val="00BF7F40"/>
    <w:rsid w:val="00C0607F"/>
    <w:rsid w:val="00C20A95"/>
    <w:rsid w:val="00C2692F"/>
    <w:rsid w:val="00C3207C"/>
    <w:rsid w:val="00C400E1"/>
    <w:rsid w:val="00C41187"/>
    <w:rsid w:val="00C63C31"/>
    <w:rsid w:val="00C757A0"/>
    <w:rsid w:val="00C760DE"/>
    <w:rsid w:val="00C82630"/>
    <w:rsid w:val="00C85B4E"/>
    <w:rsid w:val="00C85C2A"/>
    <w:rsid w:val="00C907F7"/>
    <w:rsid w:val="00CA2103"/>
    <w:rsid w:val="00CB6B99"/>
    <w:rsid w:val="00CE4C87"/>
    <w:rsid w:val="00CE544A"/>
    <w:rsid w:val="00CF5B11"/>
    <w:rsid w:val="00CF7BCB"/>
    <w:rsid w:val="00D017A8"/>
    <w:rsid w:val="00D11E1C"/>
    <w:rsid w:val="00D13DF6"/>
    <w:rsid w:val="00D160B0"/>
    <w:rsid w:val="00D17F94"/>
    <w:rsid w:val="00D223FC"/>
    <w:rsid w:val="00D26D1E"/>
    <w:rsid w:val="00D34C6E"/>
    <w:rsid w:val="00D474CF"/>
    <w:rsid w:val="00D5547E"/>
    <w:rsid w:val="00D63F91"/>
    <w:rsid w:val="00D82A3F"/>
    <w:rsid w:val="00D869A1"/>
    <w:rsid w:val="00DA413F"/>
    <w:rsid w:val="00DA4584"/>
    <w:rsid w:val="00DA614B"/>
    <w:rsid w:val="00DA7E1D"/>
    <w:rsid w:val="00DC3060"/>
    <w:rsid w:val="00DC6880"/>
    <w:rsid w:val="00DD1A8B"/>
    <w:rsid w:val="00DE0FB2"/>
    <w:rsid w:val="00DF093E"/>
    <w:rsid w:val="00DF596E"/>
    <w:rsid w:val="00E01F42"/>
    <w:rsid w:val="00E206D6"/>
    <w:rsid w:val="00E3366E"/>
    <w:rsid w:val="00E52086"/>
    <w:rsid w:val="00E543A6"/>
    <w:rsid w:val="00E60479"/>
    <w:rsid w:val="00E60539"/>
    <w:rsid w:val="00E61D73"/>
    <w:rsid w:val="00E73684"/>
    <w:rsid w:val="00E818D6"/>
    <w:rsid w:val="00E87F7A"/>
    <w:rsid w:val="00E920C6"/>
    <w:rsid w:val="00E96BD7"/>
    <w:rsid w:val="00EA0DB1"/>
    <w:rsid w:val="00EA0EE9"/>
    <w:rsid w:val="00EA5D69"/>
    <w:rsid w:val="00EC3A3E"/>
    <w:rsid w:val="00EC7373"/>
    <w:rsid w:val="00ED52CA"/>
    <w:rsid w:val="00ED5860"/>
    <w:rsid w:val="00EE35C9"/>
    <w:rsid w:val="00EF1EED"/>
    <w:rsid w:val="00F05ECA"/>
    <w:rsid w:val="00F109AE"/>
    <w:rsid w:val="00F166D4"/>
    <w:rsid w:val="00F31E5F"/>
    <w:rsid w:val="00F3566E"/>
    <w:rsid w:val="00F375FB"/>
    <w:rsid w:val="00F41AC1"/>
    <w:rsid w:val="00F4367A"/>
    <w:rsid w:val="00F445B1"/>
    <w:rsid w:val="00F45CD4"/>
    <w:rsid w:val="00F50DB6"/>
    <w:rsid w:val="00F66DCA"/>
    <w:rsid w:val="00F746D4"/>
    <w:rsid w:val="00F74F53"/>
    <w:rsid w:val="00F7606D"/>
    <w:rsid w:val="00F81670"/>
    <w:rsid w:val="00F82024"/>
    <w:rsid w:val="00F919D0"/>
    <w:rsid w:val="00F95BC9"/>
    <w:rsid w:val="00FA624C"/>
    <w:rsid w:val="00FB38C6"/>
    <w:rsid w:val="00FC17DF"/>
    <w:rsid w:val="00FD0FAC"/>
    <w:rsid w:val="00FD1DFA"/>
    <w:rsid w:val="00FD4966"/>
    <w:rsid w:val="00FE57DC"/>
    <w:rsid w:val="00FE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300522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354416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321443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185011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768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inancial-Management-Capital-Strategy\1NEW_ACCOUNTANCY\Projects\Property%20Investment%20Options\Temporary%20Accommodation\Report\CEB%20Report%20-%20TA%20Investment%20inc%20RTBR%20Funds%20(Dec%2016)%20v%20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3EA3-00A0-464C-8AF5-99414330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TA Investment inc RTBR Funds (Dec 16) v 0 2</Template>
  <TotalTime>11</TotalTime>
  <Pages>6</Pages>
  <Words>1787</Words>
  <Characters>9307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Lewis</dc:creator>
  <cp:lastModifiedBy>sclaridge</cp:lastModifiedBy>
  <cp:revision>5</cp:revision>
  <cp:lastPrinted>2015-07-03T13:50:00Z</cp:lastPrinted>
  <dcterms:created xsi:type="dcterms:W3CDTF">2016-11-18T16:59:00Z</dcterms:created>
  <dcterms:modified xsi:type="dcterms:W3CDTF">2016-11-28T13:46:00Z</dcterms:modified>
</cp:coreProperties>
</file>